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Operational Continuity &amp; Long-Term Resilience (Year 10+)</w:t>
      </w:r>
    </w:p>
    <w:p>
      <w:r>
        <w:t>To support long-term sustainability, NMFC is implementing key infrastructure and legacy strategies:</w:t>
      </w:r>
    </w:p>
    <w:p/>
    <w:p>
      <w:r>
        <w:t>• Cross-generational Training: A rotating mentorship system ensures that youth and incoming crew retain critical operational and financial knowledge.</w:t>
      </w:r>
    </w:p>
    <w:p>
      <w:r>
        <w:t>• Continuity Protocols: Printed guides, basic communication backups, and community drop-sites allow NMFC to operate even during power or network failures.</w:t>
      </w:r>
    </w:p>
    <w:p>
      <w:r>
        <w:t>• Secure Reserve Management: Bitcoin and other reserves are stored in multi-party digital custody to protect against single-point loss.</w:t>
      </w:r>
    </w:p>
    <w:p>
      <w:r>
        <w:t>• Cultural Continuity: Every 5 years, NMFC updates a cultural reference archive to retain voice and values as teams evolve.</w:t>
      </w:r>
    </w:p>
    <w:p>
      <w:r>
        <w:t>• Local Resource Partnerships: Emergency sourcing agreements are maintained with nearby landowners to ensure product availability under supply stress.</w:t>
      </w:r>
    </w:p>
    <w:p>
      <w:r>
        <w:t>• Crew Support Fund: A voluntary internal pool offers relief to crew members facing financial stress.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