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2126"/>
        <w:gridCol w:w="3679"/>
      </w:tblGrid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ID solicitud</w:t>
            </w:r>
          </w:p>
        </w:tc>
        <w:tc>
          <w:tcPr>
            <w:tcW w:w="5805" w:type="dxa"/>
            <w:gridSpan w:val="2"/>
          </w:tcPr>
          <w:p w:rsidR="00986519" w:rsidRDefault="00986519" w:rsidP="002855A5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RFC-</w:t>
            </w:r>
            <w:r w:rsidR="002855A5">
              <w:rPr>
                <w:rFonts w:ascii="Questrial" w:hAnsi="Questrial"/>
                <w:sz w:val="24"/>
                <w:szCs w:val="24"/>
              </w:rPr>
              <w:t>SPA</w:t>
            </w:r>
            <w:r>
              <w:rPr>
                <w:rFonts w:ascii="Questrial" w:hAnsi="Questrial"/>
                <w:sz w:val="24"/>
                <w:szCs w:val="24"/>
              </w:rPr>
              <w:t>-</w:t>
            </w:r>
            <w:r w:rsidR="002855A5">
              <w:rPr>
                <w:rFonts w:ascii="Questrial" w:hAnsi="Questrial"/>
                <w:sz w:val="24"/>
                <w:szCs w:val="24"/>
              </w:rPr>
              <w:t>002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Proyecto</w:t>
            </w:r>
          </w:p>
        </w:tc>
        <w:tc>
          <w:tcPr>
            <w:tcW w:w="5805" w:type="dxa"/>
            <w:gridSpan w:val="2"/>
          </w:tcPr>
          <w:p w:rsidR="00986519" w:rsidRDefault="002855A5" w:rsidP="0016515F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SPACIA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Fecha de solicitud</w:t>
            </w:r>
          </w:p>
        </w:tc>
        <w:tc>
          <w:tcPr>
            <w:tcW w:w="5805" w:type="dxa"/>
            <w:gridSpan w:val="2"/>
          </w:tcPr>
          <w:p w:rsidR="00986519" w:rsidRDefault="002855A5" w:rsidP="0016515F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07/06/2018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Fuente(s)</w:t>
            </w:r>
          </w:p>
        </w:tc>
        <w:tc>
          <w:tcPr>
            <w:tcW w:w="5805" w:type="dxa"/>
            <w:gridSpan w:val="2"/>
          </w:tcPr>
          <w:p w:rsidR="00986519" w:rsidRDefault="002855A5" w:rsidP="0016515F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Lily Collins</w:t>
            </w:r>
            <w:bookmarkStart w:id="0" w:name="_GoBack"/>
            <w:bookmarkEnd w:id="0"/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Autor(es)</w:t>
            </w:r>
          </w:p>
        </w:tc>
        <w:tc>
          <w:tcPr>
            <w:tcW w:w="5805" w:type="dxa"/>
            <w:gridSpan w:val="2"/>
          </w:tcPr>
          <w:p w:rsidR="00986519" w:rsidRDefault="002855A5" w:rsidP="0016515F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Kenny Horna Cárdenas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gridSpan w:val="2"/>
          </w:tcPr>
          <w:p w:rsidR="00986519" w:rsidRDefault="00986519" w:rsidP="0016515F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El cambio propuesto consta en:</w:t>
            </w:r>
          </w:p>
          <w:p w:rsidR="00986519" w:rsidRDefault="00F910BC" w:rsidP="00A35854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 xml:space="preserve">Otorgar la opción a los usuarios jefes de equipo de poder registrar </w:t>
            </w:r>
            <w:r w:rsidR="00A35854">
              <w:rPr>
                <w:rFonts w:ascii="Questrial" w:hAnsi="Questrial"/>
                <w:sz w:val="24"/>
                <w:szCs w:val="24"/>
              </w:rPr>
              <w:t xml:space="preserve">eventos en el sistema indicando: descripción, </w:t>
            </w:r>
            <w:r>
              <w:rPr>
                <w:rFonts w:ascii="Questrial" w:hAnsi="Questrial"/>
                <w:sz w:val="24"/>
                <w:szCs w:val="24"/>
              </w:rPr>
              <w:t>ambiente, participante</w:t>
            </w:r>
            <w:r w:rsidR="00A35854">
              <w:rPr>
                <w:rFonts w:ascii="Questrial" w:hAnsi="Questrial"/>
                <w:sz w:val="24"/>
                <w:szCs w:val="24"/>
              </w:rPr>
              <w:t>(</w:t>
            </w:r>
            <w:r>
              <w:rPr>
                <w:rFonts w:ascii="Questrial" w:hAnsi="Questrial"/>
                <w:sz w:val="24"/>
                <w:szCs w:val="24"/>
              </w:rPr>
              <w:t>s</w:t>
            </w:r>
            <w:r w:rsidR="00A35854">
              <w:rPr>
                <w:rFonts w:ascii="Questrial" w:hAnsi="Questrial"/>
                <w:sz w:val="24"/>
                <w:szCs w:val="24"/>
              </w:rPr>
              <w:t>)</w:t>
            </w:r>
            <w:r>
              <w:rPr>
                <w:rFonts w:ascii="Questrial" w:hAnsi="Questrial"/>
                <w:sz w:val="24"/>
                <w:szCs w:val="24"/>
              </w:rPr>
              <w:t xml:space="preserve">, </w:t>
            </w:r>
            <w:r w:rsidR="00A35854">
              <w:rPr>
                <w:rFonts w:ascii="Questrial" w:hAnsi="Questrial"/>
                <w:sz w:val="24"/>
                <w:szCs w:val="24"/>
              </w:rPr>
              <w:t>recurso(s), fecha, hora y duración.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Justificación</w:t>
            </w:r>
          </w:p>
        </w:tc>
        <w:tc>
          <w:tcPr>
            <w:tcW w:w="5805" w:type="dxa"/>
            <w:gridSpan w:val="2"/>
          </w:tcPr>
          <w:p w:rsidR="00986519" w:rsidRDefault="00986519" w:rsidP="0016515F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La razón del cambio es debido a:</w:t>
            </w:r>
          </w:p>
          <w:p w:rsidR="00BC31EC" w:rsidRPr="00642F77" w:rsidRDefault="00F910BC" w:rsidP="00642F77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La aplicación móvil actualmente no cuenta con módulo de creación de eventos.</w:t>
            </w:r>
            <w:r>
              <w:rPr>
                <w:rFonts w:ascii="Questrial" w:hAnsi="Questrial"/>
                <w:sz w:val="24"/>
                <w:szCs w:val="24"/>
              </w:rPr>
              <w:t xml:space="preserve"> Todos los eventos son creados por el administrador del sistema. En caso este se encuentre indispuesto no hay manera como se pueden registrar nuevos eventos. Brindando la posibilidad a los jefes de equipo de que puedan crear eventos, se puede agilizar esta tarea y reducir la carga del administrador del sistema.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Alternativa(s)</w:t>
            </w:r>
          </w:p>
        </w:tc>
        <w:tc>
          <w:tcPr>
            <w:tcW w:w="5805" w:type="dxa"/>
            <w:gridSpan w:val="2"/>
          </w:tcPr>
          <w:p w:rsidR="00986519" w:rsidRDefault="00F910BC" w:rsidP="0016515F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--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Comentarios</w:t>
            </w:r>
          </w:p>
        </w:tc>
        <w:tc>
          <w:tcPr>
            <w:tcW w:w="5805" w:type="dxa"/>
            <w:gridSpan w:val="2"/>
          </w:tcPr>
          <w:p w:rsidR="00986519" w:rsidRDefault="00F910BC" w:rsidP="0016515F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--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Miembros partícipes del Comité de Control de Cambios (CCC)</w:t>
            </w:r>
          </w:p>
        </w:tc>
        <w:tc>
          <w:tcPr>
            <w:tcW w:w="5805" w:type="dxa"/>
            <w:gridSpan w:val="2"/>
          </w:tcPr>
          <w:p w:rsidR="004D4496" w:rsidRPr="00642F77" w:rsidRDefault="00642F77" w:rsidP="00642F77">
            <w:pPr>
              <w:rPr>
                <w:rFonts w:ascii="Questrial" w:hAnsi="Questrial"/>
                <w:sz w:val="24"/>
                <w:szCs w:val="24"/>
              </w:rPr>
            </w:pPr>
            <w:r w:rsidRPr="00642F77">
              <w:rPr>
                <w:rFonts w:ascii="Questrial" w:hAnsi="Questrial"/>
                <w:sz w:val="24"/>
                <w:szCs w:val="24"/>
              </w:rPr>
              <w:t>CCC</w:t>
            </w:r>
          </w:p>
        </w:tc>
      </w:tr>
      <w:tr w:rsidR="00986519" w:rsidTr="0016515F">
        <w:trPr>
          <w:trHeight w:val="413"/>
        </w:trPr>
        <w:tc>
          <w:tcPr>
            <w:tcW w:w="1969" w:type="dxa"/>
            <w:vMerge w:val="restart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Tipo de cambio según su implementación</w:t>
            </w:r>
          </w:p>
        </w:tc>
        <w:tc>
          <w:tcPr>
            <w:tcW w:w="2126" w:type="dxa"/>
            <w:shd w:val="clear" w:color="auto" w:fill="E7E6E6" w:themeFill="background2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procedimiento de implementación</w:t>
            </w:r>
          </w:p>
        </w:tc>
        <w:tc>
          <w:tcPr>
            <w:tcW w:w="3679" w:type="dxa"/>
          </w:tcPr>
          <w:p w:rsidR="00986519" w:rsidRDefault="00986519" w:rsidP="00F910BC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Cambio estándar</w:t>
            </w:r>
          </w:p>
        </w:tc>
      </w:tr>
      <w:tr w:rsidR="00986519" w:rsidTr="0016515F">
        <w:trPr>
          <w:trHeight w:val="412"/>
        </w:trPr>
        <w:tc>
          <w:tcPr>
            <w:tcW w:w="1969" w:type="dxa"/>
            <w:vMerge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objeto</w:t>
            </w:r>
          </w:p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 cambio</w:t>
            </w:r>
          </w:p>
        </w:tc>
        <w:tc>
          <w:tcPr>
            <w:tcW w:w="3679" w:type="dxa"/>
          </w:tcPr>
          <w:p w:rsidR="00986519" w:rsidRDefault="00F910BC" w:rsidP="00F910BC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Cambio de agregación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Impacto del cambio</w:t>
            </w:r>
          </w:p>
        </w:tc>
        <w:tc>
          <w:tcPr>
            <w:tcW w:w="5805" w:type="dxa"/>
            <w:gridSpan w:val="2"/>
          </w:tcPr>
          <w:p w:rsidR="00986519" w:rsidRDefault="00986519" w:rsidP="0016515F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Los elementos afectados por este cambio son:</w:t>
            </w:r>
          </w:p>
          <w:p w:rsidR="00986519" w:rsidRDefault="00642F77" w:rsidP="00CF44C8">
            <w:pPr>
              <w:pStyle w:val="ListParagraph"/>
              <w:numPr>
                <w:ilvl w:val="0"/>
                <w:numId w:val="1"/>
              </w:numPr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Scripts participantes en la aplicación móvil.</w:t>
            </w:r>
          </w:p>
          <w:p w:rsidR="00642F77" w:rsidRPr="00CF44C8" w:rsidRDefault="00642F77" w:rsidP="00CF44C8">
            <w:pPr>
              <w:pStyle w:val="ListParagraph"/>
              <w:numPr>
                <w:ilvl w:val="0"/>
                <w:numId w:val="1"/>
              </w:numPr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Configuración de permisos para usuario “jefe de equipo” en el lado del servidor.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Prioridad</w:t>
            </w:r>
          </w:p>
        </w:tc>
        <w:tc>
          <w:tcPr>
            <w:tcW w:w="5805" w:type="dxa"/>
            <w:gridSpan w:val="2"/>
          </w:tcPr>
          <w:p w:rsidR="00986519" w:rsidRDefault="004D4496" w:rsidP="0016515F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Baja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Recepción</w:t>
            </w:r>
          </w:p>
        </w:tc>
        <w:tc>
          <w:tcPr>
            <w:tcW w:w="5805" w:type="dxa"/>
            <w:gridSpan w:val="2"/>
          </w:tcPr>
          <w:p w:rsidR="00986519" w:rsidRDefault="004D4496" w:rsidP="0016515F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08/06/2018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Cierre</w:t>
            </w:r>
          </w:p>
        </w:tc>
        <w:tc>
          <w:tcPr>
            <w:tcW w:w="5805" w:type="dxa"/>
            <w:gridSpan w:val="2"/>
          </w:tcPr>
          <w:p w:rsidR="00986519" w:rsidRDefault="00642F77" w:rsidP="0016515F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16/06/2018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Estado</w:t>
            </w:r>
          </w:p>
        </w:tc>
        <w:tc>
          <w:tcPr>
            <w:tcW w:w="5805" w:type="dxa"/>
            <w:gridSpan w:val="2"/>
          </w:tcPr>
          <w:p w:rsidR="00986519" w:rsidRDefault="00642F77" w:rsidP="0016515F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Asignada</w:t>
            </w:r>
          </w:p>
        </w:tc>
      </w:tr>
    </w:tbl>
    <w:p w:rsidR="00721ACC" w:rsidRDefault="00721ACC"/>
    <w:sectPr w:rsidR="00721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145F3"/>
    <w:multiLevelType w:val="hybridMultilevel"/>
    <w:tmpl w:val="32D2EB4A"/>
    <w:lvl w:ilvl="0" w:tplc="366E92C6">
      <w:numFmt w:val="bullet"/>
      <w:lvlText w:val="-"/>
      <w:lvlJc w:val="left"/>
      <w:pPr>
        <w:ind w:left="720" w:hanging="360"/>
      </w:pPr>
      <w:rPr>
        <w:rFonts w:ascii="Questrial" w:eastAsiaTheme="minorHAnsi" w:hAnsi="Questria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A164A"/>
    <w:multiLevelType w:val="hybridMultilevel"/>
    <w:tmpl w:val="3630374A"/>
    <w:lvl w:ilvl="0" w:tplc="AB80BED2">
      <w:numFmt w:val="bullet"/>
      <w:lvlText w:val="-"/>
      <w:lvlJc w:val="left"/>
      <w:pPr>
        <w:ind w:left="720" w:hanging="360"/>
      </w:pPr>
      <w:rPr>
        <w:rFonts w:ascii="Questrial" w:eastAsiaTheme="minorHAnsi" w:hAnsi="Questria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68B2"/>
    <w:multiLevelType w:val="hybridMultilevel"/>
    <w:tmpl w:val="ABEAB3E6"/>
    <w:lvl w:ilvl="0" w:tplc="0E624C26">
      <w:numFmt w:val="bullet"/>
      <w:lvlText w:val="-"/>
      <w:lvlJc w:val="left"/>
      <w:pPr>
        <w:ind w:left="720" w:hanging="360"/>
      </w:pPr>
      <w:rPr>
        <w:rFonts w:ascii="Questrial" w:eastAsiaTheme="minorHAnsi" w:hAnsi="Questria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19"/>
    <w:rsid w:val="000B1D02"/>
    <w:rsid w:val="002855A5"/>
    <w:rsid w:val="004D4496"/>
    <w:rsid w:val="00642F77"/>
    <w:rsid w:val="00721ACC"/>
    <w:rsid w:val="00986519"/>
    <w:rsid w:val="00A35854"/>
    <w:rsid w:val="00BC31EC"/>
    <w:rsid w:val="00CF44C8"/>
    <w:rsid w:val="00EE15E2"/>
    <w:rsid w:val="00F9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AF3D3"/>
  <w15:chartTrackingRefBased/>
  <w15:docId w15:val="{82BB3221-02AA-4879-95D1-CCE515CA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Horna Cardenas</dc:creator>
  <cp:keywords/>
  <dc:description/>
  <cp:lastModifiedBy>Kenny Horna Cardenas</cp:lastModifiedBy>
  <cp:revision>2</cp:revision>
  <dcterms:created xsi:type="dcterms:W3CDTF">2018-06-08T08:04:00Z</dcterms:created>
  <dcterms:modified xsi:type="dcterms:W3CDTF">2018-06-08T08:04:00Z</dcterms:modified>
</cp:coreProperties>
</file>