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 y Mantenimiento de Software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Kenny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6A4AAD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4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6A4AAD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14/02/2018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6A4AAD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1.3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6A4AAD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 w:rsidRPr="006A4AAD">
              <w:rPr>
                <w:rFonts w:ascii="Questrial" w:eastAsia="Questrial" w:hAnsi="Questrial" w:cs="Questrial"/>
                <w:sz w:val="24"/>
                <w:szCs w:val="24"/>
              </w:rPr>
              <w:t>Adición de definición parte 1 (3 conceptos)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6A4AAD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José Carrillo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9C4348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1507324" w:history="1">
            <w:r w:rsidR="009C4348" w:rsidRPr="00BE7CE8">
              <w:rPr>
                <w:rStyle w:val="Hipervnculo"/>
                <w:noProof/>
              </w:rPr>
              <w:t>1.</w:t>
            </w:r>
            <w:r w:rsidR="009C4348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C4348" w:rsidRPr="00BE7CE8">
              <w:rPr>
                <w:rStyle w:val="Hipervnculo"/>
                <w:noProof/>
              </w:rPr>
              <w:t>Introducción</w:t>
            </w:r>
            <w:r w:rsidR="009C4348">
              <w:rPr>
                <w:noProof/>
                <w:webHidden/>
              </w:rPr>
              <w:tab/>
            </w:r>
            <w:r w:rsidR="009C4348">
              <w:rPr>
                <w:noProof/>
                <w:webHidden/>
              </w:rPr>
              <w:fldChar w:fldCharType="begin"/>
            </w:r>
            <w:r w:rsidR="009C4348">
              <w:rPr>
                <w:noProof/>
                <w:webHidden/>
              </w:rPr>
              <w:instrText xml:space="preserve"> PAGEREF _Toc511507324 \h </w:instrText>
            </w:r>
            <w:r w:rsidR="009C4348">
              <w:rPr>
                <w:noProof/>
                <w:webHidden/>
              </w:rPr>
            </w:r>
            <w:r w:rsidR="009C4348">
              <w:rPr>
                <w:noProof/>
                <w:webHidden/>
              </w:rPr>
              <w:fldChar w:fldCharType="separate"/>
            </w:r>
            <w:r w:rsidR="009C4348">
              <w:rPr>
                <w:noProof/>
                <w:webHidden/>
              </w:rPr>
              <w:t>4</w:t>
            </w:r>
            <w:r w:rsidR="009C4348">
              <w:rPr>
                <w:noProof/>
                <w:webHidden/>
              </w:rPr>
              <w:fldChar w:fldCharType="end"/>
            </w:r>
          </w:hyperlink>
        </w:p>
        <w:p w:rsidR="009C4348" w:rsidRDefault="00A405B8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7325" w:history="1">
            <w:r w:rsidR="009C4348" w:rsidRPr="00BE7CE8">
              <w:rPr>
                <w:rStyle w:val="Hipervnculo"/>
                <w:noProof/>
              </w:rPr>
              <w:t>1.1.</w:t>
            </w:r>
            <w:r w:rsidR="009C4348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C4348" w:rsidRPr="00BE7CE8">
              <w:rPr>
                <w:rStyle w:val="Hipervnculo"/>
                <w:noProof/>
              </w:rPr>
              <w:t>Propósito del documento</w:t>
            </w:r>
            <w:r w:rsidR="009C4348">
              <w:rPr>
                <w:noProof/>
                <w:webHidden/>
              </w:rPr>
              <w:tab/>
            </w:r>
            <w:r w:rsidR="009C4348">
              <w:rPr>
                <w:noProof/>
                <w:webHidden/>
              </w:rPr>
              <w:fldChar w:fldCharType="begin"/>
            </w:r>
            <w:r w:rsidR="009C4348">
              <w:rPr>
                <w:noProof/>
                <w:webHidden/>
              </w:rPr>
              <w:instrText xml:space="preserve"> PAGEREF _Toc511507325 \h </w:instrText>
            </w:r>
            <w:r w:rsidR="009C4348">
              <w:rPr>
                <w:noProof/>
                <w:webHidden/>
              </w:rPr>
            </w:r>
            <w:r w:rsidR="009C4348">
              <w:rPr>
                <w:noProof/>
                <w:webHidden/>
              </w:rPr>
              <w:fldChar w:fldCharType="separate"/>
            </w:r>
            <w:r w:rsidR="009C4348">
              <w:rPr>
                <w:noProof/>
                <w:webHidden/>
              </w:rPr>
              <w:t>4</w:t>
            </w:r>
            <w:r w:rsidR="009C4348">
              <w:rPr>
                <w:noProof/>
                <w:webHidden/>
              </w:rPr>
              <w:fldChar w:fldCharType="end"/>
            </w:r>
          </w:hyperlink>
        </w:p>
        <w:p w:rsidR="009C4348" w:rsidRDefault="00A405B8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7326" w:history="1">
            <w:r w:rsidR="009C4348" w:rsidRPr="00BE7CE8">
              <w:rPr>
                <w:rStyle w:val="Hipervnculo"/>
                <w:noProof/>
              </w:rPr>
              <w:t>1.2.</w:t>
            </w:r>
            <w:r w:rsidR="009C4348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C4348" w:rsidRPr="00BE7CE8">
              <w:rPr>
                <w:rStyle w:val="Hipervnculo"/>
                <w:noProof/>
              </w:rPr>
              <w:t>Alcance</w:t>
            </w:r>
            <w:r w:rsidR="009C4348">
              <w:rPr>
                <w:noProof/>
                <w:webHidden/>
              </w:rPr>
              <w:tab/>
            </w:r>
            <w:r w:rsidR="009C4348">
              <w:rPr>
                <w:noProof/>
                <w:webHidden/>
              </w:rPr>
              <w:fldChar w:fldCharType="begin"/>
            </w:r>
            <w:r w:rsidR="009C4348">
              <w:rPr>
                <w:noProof/>
                <w:webHidden/>
              </w:rPr>
              <w:instrText xml:space="preserve"> PAGEREF _Toc511507326 \h </w:instrText>
            </w:r>
            <w:r w:rsidR="009C4348">
              <w:rPr>
                <w:noProof/>
                <w:webHidden/>
              </w:rPr>
            </w:r>
            <w:r w:rsidR="009C4348">
              <w:rPr>
                <w:noProof/>
                <w:webHidden/>
              </w:rPr>
              <w:fldChar w:fldCharType="separate"/>
            </w:r>
            <w:r w:rsidR="009C4348">
              <w:rPr>
                <w:noProof/>
                <w:webHidden/>
              </w:rPr>
              <w:t>4</w:t>
            </w:r>
            <w:r w:rsidR="009C4348"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1" w:name="_Toc511507324"/>
      <w:r>
        <w:lastRenderedPageBreak/>
        <w:t>Introducción</w:t>
      </w:r>
      <w:bookmarkEnd w:id="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2" w:name="_Toc511507325"/>
      <w:r>
        <w:t>Propósito</w:t>
      </w:r>
      <w:r w:rsidR="00866D52">
        <w:t xml:space="preserve"> del documento</w:t>
      </w:r>
      <w:bookmarkEnd w:id="2"/>
    </w:p>
    <w:p w:rsidR="0066679C" w:rsidRDefault="0066679C" w:rsidP="0066679C"/>
    <w:p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DE5570" w:rsidRDefault="00680ACD">
      <w:pPr>
        <w:pStyle w:val="Ttulo2"/>
        <w:numPr>
          <w:ilvl w:val="1"/>
          <w:numId w:val="4"/>
        </w:numPr>
        <w:jc w:val="both"/>
      </w:pPr>
      <w:bookmarkStart w:id="3" w:name="_Toc511507326"/>
      <w:r>
        <w:t>Alcance</w:t>
      </w:r>
      <w:bookmarkEnd w:id="3"/>
    </w:p>
    <w:p w:rsidR="0027541A" w:rsidRDefault="0027541A" w:rsidP="00B81EB9"/>
    <w:p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:rsidR="006A4AAD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proofErr w:type="gramStart"/>
      <w:r>
        <w:rPr>
          <w:rFonts w:ascii="Questrial" w:eastAsia="Questrial" w:hAnsi="Questrial" w:cs="Questrial"/>
          <w:sz w:val="24"/>
          <w:szCs w:val="24"/>
        </w:rPr>
        <w:t>Procedimientos a considerar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para la modificación del sistema SPACIA.</w:t>
      </w:r>
    </w:p>
    <w:p w:rsidR="004D4F54" w:rsidRPr="006A4AAD" w:rsidRDefault="006A4AAD" w:rsidP="006A4AAD">
      <w:pPr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br w:type="page"/>
      </w:r>
      <w:bookmarkStart w:id="4" w:name="_GoBack"/>
      <w:bookmarkEnd w:id="4"/>
    </w:p>
    <w:p w:rsidR="006A4AAD" w:rsidRDefault="006A4AAD" w:rsidP="006A4AAD">
      <w:pPr>
        <w:pStyle w:val="Ttulo2"/>
        <w:numPr>
          <w:ilvl w:val="1"/>
          <w:numId w:val="4"/>
        </w:numPr>
        <w:jc w:val="both"/>
      </w:pPr>
      <w:bookmarkStart w:id="5" w:name="_Toc511507288"/>
      <w:r>
        <w:lastRenderedPageBreak/>
        <w:t>Definiciones</w:t>
      </w:r>
      <w:bookmarkEnd w:id="5"/>
    </w:p>
    <w:p w:rsidR="006A4AAD" w:rsidRPr="000A3F7C" w:rsidRDefault="006A4AAD" w:rsidP="006A4AAD"/>
    <w:p w:rsidR="006A4AAD" w:rsidRDefault="006A4AAD" w:rsidP="006A4AAD">
      <w:pPr>
        <w:pStyle w:val="Prrafodelista"/>
        <w:numPr>
          <w:ilvl w:val="0"/>
          <w:numId w:val="10"/>
        </w:numPr>
        <w:rPr>
          <w:rFonts w:ascii="Questrial" w:hAnsi="Questrial"/>
          <w:sz w:val="24"/>
        </w:rPr>
      </w:pPr>
      <w:proofErr w:type="spellStart"/>
      <w:r w:rsidRPr="00D501D6">
        <w:rPr>
          <w:rFonts w:ascii="Questrial" w:hAnsi="Questrial"/>
          <w:sz w:val="24"/>
        </w:rPr>
        <w:t>Configuration</w:t>
      </w:r>
      <w:proofErr w:type="spellEnd"/>
      <w:r w:rsidRPr="00D501D6">
        <w:rPr>
          <w:rFonts w:ascii="Questrial" w:hAnsi="Questrial"/>
          <w:sz w:val="24"/>
        </w:rPr>
        <w:t xml:space="preserve"> </w:t>
      </w:r>
      <w:proofErr w:type="spellStart"/>
      <w:r w:rsidRPr="00D501D6">
        <w:rPr>
          <w:rFonts w:ascii="Questrial" w:hAnsi="Questrial"/>
          <w:sz w:val="24"/>
        </w:rPr>
        <w:t>item</w:t>
      </w:r>
      <w:proofErr w:type="spellEnd"/>
      <w:r w:rsidRPr="00D501D6">
        <w:rPr>
          <w:rFonts w:ascii="Questrial" w:hAnsi="Questrial"/>
          <w:sz w:val="24"/>
        </w:rPr>
        <w:t>:</w:t>
      </w:r>
      <w:r>
        <w:rPr>
          <w:rFonts w:ascii="Questrial" w:hAnsi="Questrial"/>
          <w:sz w:val="24"/>
        </w:rPr>
        <w:t xml:space="preserve"> U</w:t>
      </w:r>
      <w:r w:rsidRPr="003E225D">
        <w:rPr>
          <w:rFonts w:ascii="Questrial" w:hAnsi="Questrial"/>
          <w:sz w:val="24"/>
        </w:rPr>
        <w:t>nidad estructural fundamental de un sistema de gestión de configuración.</w:t>
      </w:r>
    </w:p>
    <w:p w:rsidR="006A4AAD" w:rsidRPr="009876D7" w:rsidRDefault="006A4AAD" w:rsidP="006A4AAD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proofErr w:type="spellStart"/>
      <w:r w:rsidRPr="009876D7">
        <w:rPr>
          <w:rFonts w:ascii="Questrial" w:hAnsi="Questrial"/>
          <w:sz w:val="24"/>
        </w:rPr>
        <w:t>Linea</w:t>
      </w:r>
      <w:proofErr w:type="spellEnd"/>
      <w:r w:rsidRPr="009876D7">
        <w:rPr>
          <w:rFonts w:ascii="Questrial" w:hAnsi="Questrial"/>
          <w:sz w:val="24"/>
        </w:rPr>
        <w:t xml:space="preserve"> base: </w:t>
      </w:r>
      <w:r w:rsidRPr="009876D7">
        <w:rPr>
          <w:rFonts w:ascii="Questrial" w:hAnsi="Questrial"/>
          <w:sz w:val="24"/>
          <w:lang w:val="es-PE"/>
        </w:rPr>
        <w:t>punto de referencia en el ciclo de vida del desarrollo de software marcado por la finalización y aprobación formal de un conjunto de productos de trabajo predefinidos</w:t>
      </w:r>
    </w:p>
    <w:p w:rsidR="006A4AAD" w:rsidRDefault="006A4AAD" w:rsidP="006A4AAD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proofErr w:type="spellStart"/>
      <w:r w:rsidRPr="009876D7">
        <w:rPr>
          <w:rFonts w:ascii="Questrial" w:hAnsi="Questrial"/>
          <w:sz w:val="24"/>
          <w:lang w:val="es-PE"/>
        </w:rPr>
        <w:t>Configuration</w:t>
      </w:r>
      <w:proofErr w:type="spellEnd"/>
      <w:r w:rsidRPr="009876D7">
        <w:rPr>
          <w:rFonts w:ascii="Questrial" w:hAnsi="Questrial"/>
          <w:sz w:val="24"/>
          <w:lang w:val="es-PE"/>
        </w:rPr>
        <w:t xml:space="preserve"> </w:t>
      </w:r>
      <w:proofErr w:type="spellStart"/>
      <w:r w:rsidRPr="009876D7">
        <w:rPr>
          <w:rFonts w:ascii="Questrial" w:hAnsi="Questrial"/>
          <w:sz w:val="24"/>
          <w:lang w:val="es-PE"/>
        </w:rPr>
        <w:t>Identification</w:t>
      </w:r>
      <w:proofErr w:type="spellEnd"/>
      <w:r w:rsidRPr="009876D7">
        <w:rPr>
          <w:rFonts w:ascii="Questrial" w:hAnsi="Questrial"/>
          <w:sz w:val="24"/>
          <w:lang w:val="es-PE"/>
        </w:rPr>
        <w:t xml:space="preserve">: </w:t>
      </w:r>
      <w:r>
        <w:rPr>
          <w:rFonts w:ascii="Questrial" w:hAnsi="Questrial"/>
          <w:sz w:val="24"/>
          <w:lang w:val="es-PE"/>
        </w:rPr>
        <w:t>e</w:t>
      </w:r>
      <w:r w:rsidRPr="009876D7">
        <w:rPr>
          <w:rFonts w:ascii="Questrial" w:hAnsi="Questrial"/>
          <w:sz w:val="24"/>
          <w:lang w:val="es-PE"/>
        </w:rPr>
        <w:t>sta actividad se encarga de identificar los elementos, esquemas y herramientas</w:t>
      </w:r>
      <w:r>
        <w:rPr>
          <w:rFonts w:ascii="Questrial" w:hAnsi="Questrial"/>
          <w:sz w:val="24"/>
          <w:lang w:val="es-PE"/>
        </w:rPr>
        <w:t>.</w:t>
      </w:r>
    </w:p>
    <w:p w:rsidR="004D4F54" w:rsidRPr="006A4AAD" w:rsidRDefault="004D4F54">
      <w:pPr>
        <w:rPr>
          <w:rFonts w:ascii="Questrial" w:eastAsia="Questrial" w:hAnsi="Questrial" w:cs="Questrial"/>
          <w:b/>
          <w:sz w:val="24"/>
          <w:szCs w:val="24"/>
          <w:lang w:val="es-PE"/>
        </w:rPr>
      </w:pPr>
    </w:p>
    <w:p w:rsidR="005579AD" w:rsidRPr="00CE7342" w:rsidRDefault="005579AD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p w:rsidR="00211EB8" w:rsidRPr="00CE7342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211EB8" w:rsidRPr="00CE7342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5B8" w:rsidRDefault="00A405B8">
      <w:pPr>
        <w:spacing w:after="0" w:line="240" w:lineRule="auto"/>
      </w:pPr>
      <w:r>
        <w:separator/>
      </w:r>
    </w:p>
  </w:endnote>
  <w:endnote w:type="continuationSeparator" w:id="0">
    <w:p w:rsidR="00A405B8" w:rsidRDefault="00A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5B8" w:rsidRDefault="00A405B8">
      <w:pPr>
        <w:spacing w:after="0" w:line="240" w:lineRule="auto"/>
      </w:pPr>
      <w:r>
        <w:separator/>
      </w:r>
    </w:p>
  </w:footnote>
  <w:footnote w:type="continuationSeparator" w:id="0">
    <w:p w:rsidR="00A405B8" w:rsidRDefault="00A40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9AD"/>
    <w:rsid w:val="00010B07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B10BB"/>
    <w:rsid w:val="001E2D4F"/>
    <w:rsid w:val="001F1D39"/>
    <w:rsid w:val="00211EB8"/>
    <w:rsid w:val="00215B4D"/>
    <w:rsid w:val="00233569"/>
    <w:rsid w:val="0023418E"/>
    <w:rsid w:val="00240A84"/>
    <w:rsid w:val="002502B7"/>
    <w:rsid w:val="00270447"/>
    <w:rsid w:val="0027541A"/>
    <w:rsid w:val="00297F23"/>
    <w:rsid w:val="002C13B9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A2182"/>
    <w:rsid w:val="006A4AAD"/>
    <w:rsid w:val="00712EE3"/>
    <w:rsid w:val="00717885"/>
    <w:rsid w:val="00723B6D"/>
    <w:rsid w:val="00727394"/>
    <w:rsid w:val="007A53B2"/>
    <w:rsid w:val="007B6C7E"/>
    <w:rsid w:val="007C2956"/>
    <w:rsid w:val="007D0BED"/>
    <w:rsid w:val="007D4FFB"/>
    <w:rsid w:val="007E3E9D"/>
    <w:rsid w:val="007F2C0F"/>
    <w:rsid w:val="008032A0"/>
    <w:rsid w:val="00816311"/>
    <w:rsid w:val="00827C48"/>
    <w:rsid w:val="00866D52"/>
    <w:rsid w:val="008D38C8"/>
    <w:rsid w:val="00902F10"/>
    <w:rsid w:val="009078B8"/>
    <w:rsid w:val="00934174"/>
    <w:rsid w:val="0094469F"/>
    <w:rsid w:val="00953ECA"/>
    <w:rsid w:val="009625DD"/>
    <w:rsid w:val="0098253A"/>
    <w:rsid w:val="009876D7"/>
    <w:rsid w:val="009A2334"/>
    <w:rsid w:val="009B1824"/>
    <w:rsid w:val="009C4348"/>
    <w:rsid w:val="009C4FA8"/>
    <w:rsid w:val="00A058C9"/>
    <w:rsid w:val="00A130F0"/>
    <w:rsid w:val="00A30C6E"/>
    <w:rsid w:val="00A405B8"/>
    <w:rsid w:val="00A42744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342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EE33C2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02B32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BB917-F62E-4C93-A5EF-AD8CAB3A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jose andres carrillo estrada</cp:lastModifiedBy>
  <cp:revision>61</cp:revision>
  <dcterms:created xsi:type="dcterms:W3CDTF">2018-04-13T21:50:00Z</dcterms:created>
  <dcterms:modified xsi:type="dcterms:W3CDTF">2018-04-15T03:43:00Z</dcterms:modified>
</cp:coreProperties>
</file>