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Kenny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Gustavo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6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1.5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Abreviaturas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Jair Barzola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7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1.6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Referencias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Luis Estrada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69757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553721" w:history="1">
            <w:r w:rsidR="0069757D" w:rsidRPr="006C260E">
              <w:rPr>
                <w:rStyle w:val="Hipervnculo"/>
                <w:noProof/>
              </w:rPr>
              <w:t>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Introducción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2" w:history="1">
            <w:r w:rsidR="0069757D" w:rsidRPr="006C260E">
              <w:rPr>
                <w:rStyle w:val="Hipervnculo"/>
                <w:noProof/>
              </w:rPr>
              <w:t>1.1.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Propósito del documento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_Toc512553722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3" w:history="1">
            <w:r w:rsidR="0069757D" w:rsidRPr="006C260E">
              <w:rPr>
                <w:rStyle w:val="Hipervnculo"/>
                <w:noProof/>
              </w:rPr>
              <w:t>1.2.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Alcance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_Toc512553723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4" w:history="1">
            <w:r w:rsidR="0069757D" w:rsidRPr="006C260E">
              <w:rPr>
                <w:rStyle w:val="Hipervnculo"/>
                <w:noProof/>
              </w:rPr>
              <w:t>1.3.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Definiciones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_Toc512553724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5" w:history="1">
            <w:r w:rsidR="0069757D" w:rsidRPr="006C260E">
              <w:rPr>
                <w:rStyle w:val="Hipervnculo"/>
                <w:noProof/>
              </w:rPr>
              <w:t>1.3.1.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Abreviaturas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_Toc512553725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6" w:history="1">
            <w:r w:rsidR="0069757D" w:rsidRPr="006C260E">
              <w:rPr>
                <w:rStyle w:val="Hipervnculo"/>
                <w:noProof/>
              </w:rPr>
              <w:t>1.4.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Referencias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_Toc512553726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7" w:history="1">
            <w:r w:rsidR="0069757D" w:rsidRPr="006C260E">
              <w:rPr>
                <w:rStyle w:val="Hipervnculo"/>
                <w:noProof/>
              </w:rPr>
              <w:t>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Gestión de la Configuración de Software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_Toc512553727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8" w:history="1">
            <w:r w:rsidR="0069757D" w:rsidRPr="006C260E">
              <w:rPr>
                <w:rStyle w:val="Hipervnculo"/>
                <w:noProof/>
              </w:rPr>
              <w:t>2.1.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Organización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_Toc512553728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9" w:history="1">
            <w:r w:rsidR="0069757D" w:rsidRPr="006C260E">
              <w:rPr>
                <w:rStyle w:val="Hipervnculo"/>
                <w:noProof/>
              </w:rPr>
              <w:t>2.2.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Roles y Responsabilidades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_Toc512553729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0" w:history="1">
            <w:r w:rsidR="0069757D" w:rsidRPr="006C260E">
              <w:rPr>
                <w:rStyle w:val="Hipervnculo"/>
                <w:noProof/>
              </w:rPr>
              <w:t>2.3.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Políticas, directrices y procedimientos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_Toc512553730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1" w:history="1">
            <w:r w:rsidR="0069757D" w:rsidRPr="006C260E">
              <w:rPr>
                <w:rStyle w:val="Hipervnculo"/>
                <w:noProof/>
              </w:rPr>
              <w:t>2.4.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Herramientas, entorno e infraestructura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2" w:history="1">
            <w:r w:rsidR="0069757D" w:rsidRPr="006C260E">
              <w:rPr>
                <w:rStyle w:val="Hipervnculo"/>
                <w:noProof/>
              </w:rPr>
              <w:t>2.4.1.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 de control de versiones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_Toc512553732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3" w:history="1">
            <w:r w:rsidR="0069757D" w:rsidRPr="006C260E">
              <w:rPr>
                <w:rStyle w:val="Hipervnculo"/>
                <w:noProof/>
              </w:rPr>
              <w:t>2.4.2.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 de entorno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_Toc512553733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AB2B4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4" w:history="1">
            <w:r w:rsidR="0069757D" w:rsidRPr="006C260E">
              <w:rPr>
                <w:rStyle w:val="Hipervnculo"/>
                <w:noProof/>
              </w:rPr>
              <w:t>2.5.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Calendario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_Toc512553734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1" w:name="_Toc512553721"/>
      <w:r>
        <w:lastRenderedPageBreak/>
        <w:t>Introducción</w:t>
      </w:r>
      <w:bookmarkEnd w:id="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2" w:name="_Toc512553722"/>
      <w:r>
        <w:t>Propósito</w:t>
      </w:r>
      <w:r w:rsidR="00866D52">
        <w:t xml:space="preserve"> del documento</w:t>
      </w:r>
      <w:bookmarkEnd w:id="2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3" w:name="_Toc512553723"/>
      <w:r>
        <w:t>Alcance</w:t>
      </w:r>
      <w:bookmarkEnd w:id="3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proofErr w:type="gramStart"/>
      <w:r>
        <w:rPr>
          <w:rFonts w:ascii="Questrial" w:eastAsia="Questrial" w:hAnsi="Questrial" w:cs="Questrial"/>
          <w:sz w:val="24"/>
          <w:szCs w:val="24"/>
        </w:rPr>
        <w:t>Procedimientos a considerar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para la modificación del sistema SPACIA.</w:t>
      </w:r>
    </w:p>
    <w:p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4" w:name="_Toc512553724"/>
      <w:r>
        <w:lastRenderedPageBreak/>
        <w:t>Definiciones</w:t>
      </w:r>
      <w:bookmarkEnd w:id="4"/>
    </w:p>
    <w:p w:rsidR="000A3F7C" w:rsidRPr="000A3F7C" w:rsidRDefault="000A3F7C" w:rsidP="000A3F7C"/>
    <w:p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proofErr w:type="spellStart"/>
      <w:r w:rsidRPr="00D501D6">
        <w:rPr>
          <w:rFonts w:ascii="Questrial" w:hAnsi="Questrial"/>
          <w:sz w:val="24"/>
        </w:rPr>
        <w:t>Configuration</w:t>
      </w:r>
      <w:proofErr w:type="spellEnd"/>
      <w:r w:rsidRPr="00D501D6">
        <w:rPr>
          <w:rFonts w:ascii="Questrial" w:hAnsi="Questrial"/>
          <w:sz w:val="24"/>
        </w:rPr>
        <w:t xml:space="preserve"> </w:t>
      </w:r>
      <w:proofErr w:type="spellStart"/>
      <w:r w:rsidRPr="00D501D6">
        <w:rPr>
          <w:rFonts w:ascii="Questrial" w:hAnsi="Questrial"/>
          <w:sz w:val="24"/>
        </w:rPr>
        <w:t>item</w:t>
      </w:r>
      <w:proofErr w:type="spellEnd"/>
      <w:r w:rsidRPr="00D501D6">
        <w:rPr>
          <w:rFonts w:ascii="Questrial" w:hAnsi="Questrial"/>
          <w:sz w:val="24"/>
        </w:rPr>
        <w:t>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 w:rsidRPr="009876D7">
        <w:rPr>
          <w:rFonts w:ascii="Questrial" w:hAnsi="Questrial"/>
          <w:sz w:val="24"/>
        </w:rPr>
        <w:t>Linea</w:t>
      </w:r>
      <w:proofErr w:type="spellEnd"/>
      <w:r w:rsidRPr="009876D7">
        <w:rPr>
          <w:rFonts w:ascii="Questrial" w:hAnsi="Questrial"/>
          <w:sz w:val="24"/>
        </w:rPr>
        <w:t xml:space="preserve">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 w:rsidRPr="009876D7">
        <w:rPr>
          <w:rFonts w:ascii="Questrial" w:hAnsi="Questrial"/>
          <w:sz w:val="24"/>
          <w:lang w:val="es-PE"/>
        </w:rPr>
        <w:t>Configuration</w:t>
      </w:r>
      <w:proofErr w:type="spellEnd"/>
      <w:r w:rsidRPr="009876D7">
        <w:rPr>
          <w:rFonts w:ascii="Questrial" w:hAnsi="Questrial"/>
          <w:sz w:val="24"/>
          <w:lang w:val="es-PE"/>
        </w:rPr>
        <w:t xml:space="preserve"> </w:t>
      </w:r>
      <w:proofErr w:type="spellStart"/>
      <w:r w:rsidRPr="009876D7">
        <w:rPr>
          <w:rFonts w:ascii="Questrial" w:hAnsi="Questrial"/>
          <w:sz w:val="24"/>
          <w:lang w:val="es-PE"/>
        </w:rPr>
        <w:t>Identification</w:t>
      </w:r>
      <w:proofErr w:type="spellEnd"/>
      <w:r w:rsidRPr="009876D7">
        <w:rPr>
          <w:rFonts w:ascii="Questrial" w:hAnsi="Questrial"/>
          <w:sz w:val="24"/>
          <w:lang w:val="es-PE"/>
        </w:rPr>
        <w:t>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>
        <w:rPr>
          <w:rFonts w:ascii="Questrial" w:hAnsi="Questrial"/>
          <w:sz w:val="24"/>
          <w:lang w:val="es-PE"/>
        </w:rPr>
        <w:t>Configuration</w:t>
      </w:r>
      <w:proofErr w:type="spellEnd"/>
      <w:r>
        <w:rPr>
          <w:rFonts w:ascii="Questrial" w:hAnsi="Questrial"/>
          <w:sz w:val="24"/>
          <w:lang w:val="es-PE"/>
        </w:rPr>
        <w:t xml:space="preserve">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 w:rsidRPr="009876D7">
        <w:rPr>
          <w:rFonts w:ascii="Questrial" w:hAnsi="Questrial"/>
          <w:sz w:val="24"/>
          <w:lang w:val="es-PE"/>
        </w:rPr>
        <w:t>Configuration</w:t>
      </w:r>
      <w:proofErr w:type="spellEnd"/>
      <w:r w:rsidRPr="009876D7">
        <w:rPr>
          <w:rFonts w:ascii="Questrial" w:hAnsi="Questrial"/>
          <w:sz w:val="24"/>
          <w:lang w:val="es-PE"/>
        </w:rPr>
        <w:t xml:space="preserve"> </w:t>
      </w:r>
      <w:proofErr w:type="gramStart"/>
      <w:r w:rsidRPr="009876D7">
        <w:rPr>
          <w:rFonts w:ascii="Questrial" w:hAnsi="Questrial"/>
          <w:sz w:val="24"/>
          <w:lang w:val="es-PE"/>
        </w:rPr>
        <w:t>status</w:t>
      </w:r>
      <w:proofErr w:type="gramEnd"/>
      <w:r w:rsidRPr="009876D7">
        <w:rPr>
          <w:rFonts w:ascii="Questrial" w:hAnsi="Questrial"/>
          <w:sz w:val="24"/>
          <w:lang w:val="es-PE"/>
        </w:rPr>
        <w:t xml:space="preserve"> </w:t>
      </w:r>
      <w:proofErr w:type="spellStart"/>
      <w:r w:rsidRPr="009876D7">
        <w:rPr>
          <w:rFonts w:ascii="Questrial" w:hAnsi="Questrial"/>
          <w:sz w:val="24"/>
          <w:lang w:val="es-PE"/>
        </w:rPr>
        <w:t>accounting</w:t>
      </w:r>
      <w:proofErr w:type="spellEnd"/>
      <w:r w:rsidRPr="009876D7">
        <w:rPr>
          <w:rFonts w:ascii="Questrial" w:hAnsi="Questrial"/>
          <w:sz w:val="24"/>
          <w:lang w:val="es-PE"/>
        </w:rPr>
        <w:t>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proofErr w:type="spellStart"/>
      <w:r>
        <w:rPr>
          <w:rFonts w:ascii="Questrial" w:hAnsi="Questrial"/>
          <w:sz w:val="24"/>
          <w:lang w:val="es-PE"/>
        </w:rPr>
        <w:t>Configuration</w:t>
      </w:r>
      <w:proofErr w:type="spellEnd"/>
      <w:r>
        <w:rPr>
          <w:rFonts w:ascii="Questrial" w:hAnsi="Questrial"/>
          <w:sz w:val="24"/>
          <w:lang w:val="es-PE"/>
        </w:rPr>
        <w:t xml:space="preserve">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:rsidR="00AA79C8" w:rsidRDefault="00445AA6" w:rsidP="00AA79C8">
      <w:pPr>
        <w:pStyle w:val="Ttulo2"/>
        <w:numPr>
          <w:ilvl w:val="2"/>
          <w:numId w:val="4"/>
        </w:numPr>
        <w:ind w:left="1843"/>
        <w:jc w:val="both"/>
      </w:pPr>
      <w:bookmarkStart w:id="5" w:name="_Toc512553725"/>
      <w:r>
        <w:t>Abreviatura</w:t>
      </w:r>
      <w:r w:rsidR="00AA79C8">
        <w:t>s</w:t>
      </w:r>
      <w:bookmarkEnd w:id="5"/>
    </w:p>
    <w:p w:rsidR="00445AA6" w:rsidRDefault="00445AA6" w:rsidP="00445AA6"/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CCB: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Control Board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CI: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CM: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OP:</w:t>
      </w:r>
      <w:r w:rsidR="009C4FA8" w:rsidRPr="00D501D6">
        <w:rPr>
          <w:rFonts w:ascii="Questrial" w:hAnsi="Questrial"/>
          <w:sz w:val="24"/>
          <w:lang w:val="en-US"/>
        </w:rPr>
        <w:t xml:space="preserve"> Operational Program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SCA:</w:t>
      </w:r>
      <w:r w:rsidR="009C4FA8" w:rsidRPr="00D501D6">
        <w:rPr>
          <w:rFonts w:ascii="Questrial" w:hAnsi="Questrial"/>
          <w:sz w:val="24"/>
          <w:lang w:val="en-US"/>
        </w:rPr>
        <w:t xml:space="preserve"> Software Change Authorization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SCI: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SCMP:</w:t>
      </w:r>
      <w:r w:rsidR="00A30C6E" w:rsidRPr="00D501D6">
        <w:rPr>
          <w:rFonts w:ascii="Questrial" w:hAnsi="Questrial"/>
          <w:sz w:val="24"/>
          <w:lang w:val="en-US"/>
        </w:rPr>
        <w:t xml:space="preserve"> Software Configuration Management Plan</w:t>
      </w:r>
    </w:p>
    <w:p w:rsidR="00270447" w:rsidRPr="00D501D6" w:rsidRDefault="00270447" w:rsidP="00270447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SMP: Software Maintenance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SCR:</w:t>
      </w:r>
      <w:r w:rsidR="00A30C6E" w:rsidRPr="00D501D6">
        <w:rPr>
          <w:rFonts w:ascii="Questrial" w:hAnsi="Questrial"/>
          <w:sz w:val="24"/>
          <w:lang w:val="en-US"/>
        </w:rPr>
        <w:t xml:space="preserve"> System/Software Change Request</w:t>
      </w:r>
    </w:p>
    <w:p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AA79C8" w:rsidRDefault="00520A42" w:rsidP="00AA79C8">
      <w:pPr>
        <w:pStyle w:val="Ttulo2"/>
        <w:numPr>
          <w:ilvl w:val="1"/>
          <w:numId w:val="4"/>
        </w:numPr>
        <w:jc w:val="both"/>
      </w:pPr>
      <w:bookmarkStart w:id="6" w:name="_Toc512553726"/>
      <w:r>
        <w:t>Referencias</w:t>
      </w:r>
      <w:bookmarkEnd w:id="6"/>
    </w:p>
    <w:p w:rsidR="00520A42" w:rsidRDefault="00520A42" w:rsidP="00520A42"/>
    <w:p w:rsidR="00520A42" w:rsidRDefault="00520A42" w:rsidP="00520A42">
      <w:pPr>
        <w:rPr>
          <w:lang w:val="en-US"/>
        </w:rPr>
      </w:pPr>
      <w:r w:rsidRPr="00520A42">
        <w:rPr>
          <w:lang w:val="en-US"/>
        </w:rPr>
        <w:t>[1] ANSI/IEEE Std 828-1983, IEEE Standard for Software Configuration Management Plans</w:t>
      </w:r>
    </w:p>
    <w:p w:rsidR="00F5559F" w:rsidRPr="00520A42" w:rsidRDefault="00F5559F" w:rsidP="00F5559F">
      <w:pPr>
        <w:rPr>
          <w:lang w:val="en-US"/>
        </w:rPr>
      </w:pPr>
      <w:r w:rsidRPr="00520A42">
        <w:rPr>
          <w:lang w:val="en-US"/>
        </w:rPr>
        <w:t>[</w:t>
      </w:r>
      <w:r w:rsidR="00902F10">
        <w:rPr>
          <w:lang w:val="en-US"/>
        </w:rPr>
        <w:t>2</w:t>
      </w:r>
      <w:r w:rsidRPr="00520A42">
        <w:rPr>
          <w:lang w:val="en-US"/>
        </w:rPr>
        <w:t xml:space="preserve">] ANSI/IEEE Std </w:t>
      </w:r>
      <w:r>
        <w:rPr>
          <w:lang w:val="en-US"/>
        </w:rPr>
        <w:t>1042-1987</w:t>
      </w:r>
      <w:r w:rsidRPr="00520A42">
        <w:rPr>
          <w:lang w:val="en-US"/>
        </w:rPr>
        <w:t xml:space="preserve">, </w:t>
      </w:r>
      <w:r w:rsidR="00902F10" w:rsidRPr="00902F10">
        <w:rPr>
          <w:lang w:val="en-US"/>
        </w:rPr>
        <w:t>IEEE Guide to Software Configuration Management</w:t>
      </w:r>
    </w:p>
    <w:p w:rsidR="00211EB8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523C09" w:rsidRDefault="00523C09" w:rsidP="00523C09">
      <w:pPr>
        <w:pStyle w:val="Ttulo1"/>
        <w:numPr>
          <w:ilvl w:val="0"/>
          <w:numId w:val="4"/>
        </w:numPr>
        <w:ind w:left="0"/>
        <w:jc w:val="both"/>
      </w:pPr>
      <w:bookmarkStart w:id="7" w:name="_Toc512553727"/>
      <w:r>
        <w:lastRenderedPageBreak/>
        <w:t>Gestión de la Configuración de Software</w:t>
      </w:r>
      <w:bookmarkEnd w:id="7"/>
    </w:p>
    <w:p w:rsidR="0093771C" w:rsidRDefault="00523C09" w:rsidP="0093771C">
      <w:pPr>
        <w:pStyle w:val="Ttulo2"/>
        <w:numPr>
          <w:ilvl w:val="1"/>
          <w:numId w:val="4"/>
        </w:numPr>
        <w:jc w:val="both"/>
      </w:pPr>
      <w:bookmarkStart w:id="8" w:name="_Toc512553728"/>
      <w:r>
        <w:t>Organización</w:t>
      </w:r>
      <w:bookmarkEnd w:id="8"/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9" w:name="_Toc512553729"/>
      <w:r>
        <w:t>Roles y Responsabilidades</w:t>
      </w:r>
      <w:bookmarkEnd w:id="9"/>
    </w:p>
    <w:p w:rsidR="00F414A5" w:rsidRPr="00292F5A" w:rsidRDefault="00F414A5" w:rsidP="00F414A5">
      <w:pPr>
        <w:jc w:val="both"/>
        <w:rPr>
          <w:u w:val="single"/>
          <w:lang w:val="es-ES"/>
        </w:rPr>
      </w:pPr>
      <w:r w:rsidRPr="004F7651">
        <w:rPr>
          <w:lang w:val="es-ES"/>
        </w:rPr>
        <w:t xml:space="preserve">La unidad de SCM de la </w:t>
      </w:r>
      <w:r>
        <w:rPr>
          <w:lang w:val="es-ES"/>
        </w:rPr>
        <w:t xml:space="preserve">NN </w:t>
      </w:r>
      <w:proofErr w:type="spellStart"/>
      <w:r w:rsidRPr="00292F5A">
        <w:rPr>
          <w:u w:val="single"/>
          <w:lang w:val="es-ES"/>
        </w:rPr>
        <w:t>Consulting</w:t>
      </w:r>
      <w:proofErr w:type="spellEnd"/>
      <w:r w:rsidRPr="004F7651">
        <w:rPr>
          <w:lang w:val="es-ES"/>
        </w:rPr>
        <w:t xml:space="preserve"> es liderada por el responsable de SCM (</w:t>
      </w:r>
      <w:proofErr w:type="spellStart"/>
      <w:r w:rsidRPr="004F7651">
        <w:rPr>
          <w:lang w:val="es-ES"/>
        </w:rPr>
        <w:t>Configuration</w:t>
      </w:r>
      <w:proofErr w:type="spellEnd"/>
      <w:r w:rsidRPr="004F7651">
        <w:rPr>
          <w:lang w:val="es-ES"/>
        </w:rPr>
        <w:t xml:space="preserve"> Management </w:t>
      </w:r>
      <w:proofErr w:type="spellStart"/>
      <w:r w:rsidRPr="004F7651">
        <w:rPr>
          <w:lang w:val="es-ES"/>
        </w:rPr>
        <w:t>Officer</w:t>
      </w:r>
      <w:proofErr w:type="spellEnd"/>
      <w:r w:rsidRPr="004F7651">
        <w:rPr>
          <w:lang w:val="es-ES"/>
        </w:rPr>
        <w:t>, CMO), responsable por las tareas de gestión de la unidad. En general, la unidad actúa como un equipo en el cual sus miembros cooperan para llevar a cabo las tareas de SCM.</w:t>
      </w:r>
    </w:p>
    <w:p w:rsidR="00F414A5" w:rsidRDefault="00F414A5" w:rsidP="00F414A5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10" w:name="_Toc472618537"/>
      <w:proofErr w:type="spellStart"/>
      <w:r>
        <w:t>C</w:t>
      </w:r>
      <w:bookmarkEnd w:id="10"/>
      <w:r>
        <w:t>onfiguration</w:t>
      </w:r>
      <w:proofErr w:type="spellEnd"/>
      <w:r>
        <w:t xml:space="preserve"> Management Officer</w:t>
      </w:r>
      <w:bookmarkStart w:id="11" w:name="_GoBack"/>
      <w:bookmarkEnd w:id="11"/>
    </w:p>
    <w:p w:rsidR="00F414A5" w:rsidRDefault="00F414A5" w:rsidP="00F414A5">
      <w:pPr>
        <w:tabs>
          <w:tab w:val="num" w:pos="936"/>
        </w:tabs>
        <w:jc w:val="both"/>
      </w:pPr>
      <w:r>
        <w:t>El CMO es responsable de: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Gestionar la unidad de SCM.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Definir una estrategia para la implantación de las prácticas de SCM.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Proveer el personal de SCM requerido para las actividades de desarrollo.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Planificar las actividades de SCM.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Informar a los niveles superiores sobre el estado del proceso y las actividades de SCM en los proyectos.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Garantizar la capacitación del personal de SCM y los recursos necesarios para el desarrollo de sus actividades.</w:t>
      </w:r>
    </w:p>
    <w:p w:rsidR="00F414A5" w:rsidRPr="00CC6F98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Promover el mejoramiento continuo del proceso de SCM.</w:t>
      </w:r>
    </w:p>
    <w:p w:rsidR="00F414A5" w:rsidRDefault="00F414A5" w:rsidP="00F414A5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Gestionar el desarrollo de herramientas para facilitar el proceso de SCM.</w:t>
      </w:r>
    </w:p>
    <w:p w:rsidR="00F414A5" w:rsidRDefault="00F414A5" w:rsidP="00F414A5">
      <w:pPr>
        <w:tabs>
          <w:tab w:val="num" w:pos="1068"/>
        </w:tabs>
        <w:jc w:val="both"/>
        <w:rPr>
          <w:lang w:val="es-ES"/>
        </w:rPr>
      </w:pPr>
    </w:p>
    <w:p w:rsidR="00F414A5" w:rsidRDefault="00F414A5" w:rsidP="00F414A5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>
        <w:rPr>
          <w:lang w:val="es-ES"/>
        </w:rPr>
        <w:t xml:space="preserve">Control 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  <w:r>
        <w:rPr>
          <w:lang w:val="es-ES"/>
        </w:rPr>
        <w:t xml:space="preserve"> </w:t>
      </w:r>
    </w:p>
    <w:p w:rsidR="00F414A5" w:rsidRPr="00B444ED" w:rsidRDefault="00F414A5" w:rsidP="00F414A5">
      <w:pPr>
        <w:tabs>
          <w:tab w:val="num" w:pos="1068"/>
        </w:tabs>
        <w:jc w:val="both"/>
        <w:rPr>
          <w:lang w:val="es-ES"/>
        </w:rPr>
      </w:pPr>
      <w:r w:rsidRPr="00B444ED">
        <w:rPr>
          <w:lang w:val="es-ES"/>
        </w:rPr>
        <w:t xml:space="preserve">Un grupo de </w:t>
      </w:r>
      <w:proofErr w:type="spellStart"/>
      <w:r w:rsidRPr="00B444ED">
        <w:rPr>
          <w:lang w:val="es-ES"/>
        </w:rPr>
        <w:t>s</w:t>
      </w:r>
      <w:r>
        <w:rPr>
          <w:lang w:val="es-ES"/>
        </w:rPr>
        <w:t>takeholders</w:t>
      </w:r>
      <w:proofErr w:type="spellEnd"/>
      <w:r w:rsidRPr="00B444ED">
        <w:rPr>
          <w:lang w:val="es-ES"/>
        </w:rPr>
        <w:t xml:space="preserve"> del proyecto responsable</w:t>
      </w:r>
      <w:r>
        <w:rPr>
          <w:lang w:val="es-ES"/>
        </w:rPr>
        <w:t>s</w:t>
      </w:r>
      <w:r w:rsidRPr="00B444ED">
        <w:rPr>
          <w:lang w:val="es-ES"/>
        </w:rPr>
        <w:t xml:space="preserve"> de:</w:t>
      </w:r>
    </w:p>
    <w:p w:rsidR="00F414A5" w:rsidRPr="00B444ED" w:rsidRDefault="00F414A5" w:rsidP="00F414A5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B444ED">
        <w:rPr>
          <w:lang w:val="es-ES"/>
        </w:rPr>
        <w:t>Revisa</w:t>
      </w:r>
      <w:r>
        <w:rPr>
          <w:lang w:val="es-ES"/>
        </w:rPr>
        <w:t xml:space="preserve">r el </w:t>
      </w:r>
      <w:r w:rsidRPr="00B444ED">
        <w:rPr>
          <w:lang w:val="es-ES"/>
        </w:rPr>
        <w:t>hardware o solicitudes de cambio de clientes, en términos del cronograma del proyecto, el costo y el impacto en los clientes.</w:t>
      </w:r>
    </w:p>
    <w:p w:rsidR="00F414A5" w:rsidRDefault="00F414A5" w:rsidP="00F414A5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B444ED">
        <w:rPr>
          <w:lang w:val="es-ES"/>
        </w:rPr>
        <w:t>Recomienda la aprobación o desaprobación del cambio.</w:t>
      </w:r>
    </w:p>
    <w:p w:rsidR="00F414A5" w:rsidRPr="00B444ED" w:rsidRDefault="00F414A5" w:rsidP="00F414A5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>
        <w:rPr>
          <w:lang w:val="es-ES"/>
        </w:rPr>
        <w:t>Priorización de la incorporación de cambios aprobados.</w:t>
      </w:r>
    </w:p>
    <w:p w:rsidR="00F414A5" w:rsidRPr="00B444ED" w:rsidRDefault="00F414A5" w:rsidP="00F414A5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B444ED">
        <w:rPr>
          <w:lang w:val="es-ES"/>
        </w:rPr>
        <w:t xml:space="preserve">Reenvía la decisión de aprobación o desaprobación del cambio al </w:t>
      </w:r>
      <w:r>
        <w:rPr>
          <w:lang w:val="es-ES"/>
        </w:rPr>
        <w:t>CMO</w:t>
      </w:r>
    </w:p>
    <w:p w:rsidR="00F414A5" w:rsidRPr="00B444ED" w:rsidRDefault="00F414A5" w:rsidP="00F414A5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B444ED">
        <w:rPr>
          <w:lang w:val="es-ES"/>
        </w:rPr>
        <w:t>Informa por escrito al cliente de la decisión de cambio.</w:t>
      </w:r>
    </w:p>
    <w:p w:rsidR="00F414A5" w:rsidRDefault="00F414A5" w:rsidP="00F414A5">
      <w:pPr>
        <w:spacing w:after="0" w:line="240" w:lineRule="auto"/>
        <w:jc w:val="both"/>
      </w:pPr>
    </w:p>
    <w:p w:rsidR="00F414A5" w:rsidRPr="004F7651" w:rsidRDefault="00F414A5" w:rsidP="00F414A5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12" w:name="_Toc468899098"/>
      <w:bookmarkStart w:id="13" w:name="_Toc472618538"/>
      <w:r>
        <w:t>Ingeniero</w:t>
      </w:r>
      <w:bookmarkEnd w:id="12"/>
      <w:r>
        <w:t>s</w:t>
      </w:r>
      <w:bookmarkEnd w:id="13"/>
    </w:p>
    <w:p w:rsidR="00F414A5" w:rsidRPr="00CC6F98" w:rsidRDefault="00F414A5" w:rsidP="00F414A5">
      <w:pPr>
        <w:jc w:val="both"/>
        <w:rPr>
          <w:lang w:val="es-ES"/>
        </w:rPr>
      </w:pPr>
      <w:r w:rsidRPr="00CC6F98">
        <w:rPr>
          <w:lang w:val="es-ES"/>
        </w:rPr>
        <w:t>Los ingenieros miembros de la unidad de SCM, que se constituyen como sus representantes en los diferentes proyectos de desarrollo, deben:</w:t>
      </w:r>
    </w:p>
    <w:p w:rsidR="00F414A5" w:rsidRPr="00CC6F98" w:rsidRDefault="00F414A5" w:rsidP="00F414A5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Desarrollar y coordinar las actividades de SCM planificadas para el proyecto.</w:t>
      </w:r>
    </w:p>
    <w:p w:rsidR="00F414A5" w:rsidRPr="00CC6F98" w:rsidRDefault="00F414A5" w:rsidP="00F414A5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Establecer y participar de la identificación, control, auditoría e informe sobre el estado de la configuración.</w:t>
      </w:r>
    </w:p>
    <w:p w:rsidR="00F414A5" w:rsidRPr="00CC6F98" w:rsidRDefault="00F414A5" w:rsidP="00F414A5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lastRenderedPageBreak/>
        <w:t>Participar en el establecimiento de la biblioteca del software.</w:t>
      </w:r>
    </w:p>
    <w:p w:rsidR="00F414A5" w:rsidRPr="00CC6F98" w:rsidRDefault="00F414A5" w:rsidP="00F414A5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Monitorear el correcto funcionamiento de la biblioteca del software.</w:t>
      </w:r>
    </w:p>
    <w:p w:rsidR="00F414A5" w:rsidRDefault="00F414A5" w:rsidP="00F414A5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Interactuar con los desarrolladores y la unidad de SQA.</w:t>
      </w:r>
    </w:p>
    <w:p w:rsidR="00F414A5" w:rsidRDefault="00F414A5" w:rsidP="00F414A5">
      <w:pPr>
        <w:tabs>
          <w:tab w:val="num" w:pos="1068"/>
        </w:tabs>
        <w:jc w:val="both"/>
        <w:rPr>
          <w:lang w:val="es-ES"/>
        </w:rPr>
      </w:pPr>
    </w:p>
    <w:p w:rsidR="00F414A5" w:rsidRDefault="00F414A5" w:rsidP="00F414A5">
      <w:pPr>
        <w:tabs>
          <w:tab w:val="num" w:pos="1068"/>
        </w:tabs>
        <w:jc w:val="both"/>
        <w:rPr>
          <w:lang w:val="es-ES"/>
        </w:rPr>
      </w:pPr>
    </w:p>
    <w:p w:rsidR="00F414A5" w:rsidRPr="00CC6F98" w:rsidRDefault="00F414A5" w:rsidP="00F414A5">
      <w:pPr>
        <w:tabs>
          <w:tab w:val="num" w:pos="1068"/>
        </w:tabs>
        <w:jc w:val="both"/>
        <w:rPr>
          <w:lang w:val="es-ES"/>
        </w:rPr>
      </w:pPr>
    </w:p>
    <w:p w:rsidR="00F414A5" w:rsidRPr="004F7651" w:rsidRDefault="00F414A5" w:rsidP="00F414A5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14" w:name="_Toc472618539"/>
      <w:r>
        <w:t>Bibliotecarios</w:t>
      </w:r>
      <w:bookmarkEnd w:id="14"/>
    </w:p>
    <w:p w:rsidR="00F414A5" w:rsidRPr="00CC6F98" w:rsidRDefault="00F414A5" w:rsidP="00F414A5">
      <w:pPr>
        <w:jc w:val="both"/>
        <w:rPr>
          <w:lang w:val="es-ES"/>
        </w:rPr>
      </w:pPr>
      <w:r w:rsidRPr="00CC6F98">
        <w:rPr>
          <w:lang w:val="es-ES"/>
        </w:rPr>
        <w:t>Los bibliotecarios son responsables de: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Diseñar y establecer la biblioteca del software para cada proyecto de desarrollo durante la etapa de planificación.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Establecer y mantener el software y la documentación de cada proyecto de acuerdo con un proceso documentado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Proveer a los desarrolladores las copias de l</w:t>
      </w:r>
      <w:r>
        <w:rPr>
          <w:lang w:val="es-ES"/>
        </w:rPr>
        <w:t>as líneas bases</w:t>
      </w:r>
      <w:r w:rsidRPr="00CC6F98">
        <w:rPr>
          <w:lang w:val="es-ES"/>
        </w:rPr>
        <w:t xml:space="preserve"> requerid</w:t>
      </w:r>
      <w:r>
        <w:rPr>
          <w:lang w:val="es-ES"/>
        </w:rPr>
        <w:t>a</w:t>
      </w:r>
      <w:r w:rsidRPr="00CC6F98">
        <w:rPr>
          <w:lang w:val="es-ES"/>
        </w:rPr>
        <w:t>s para sus diferentes tareas.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Mantener y distribuir un índice con el contenido de cada biblioteca.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Entregar la copia original para la implementación de los cambios aprobados por el CCB.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 xml:space="preserve">Informar a los desarrolladores sobre los cambios a los ítems 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Registrar y mantener copias de las antiguas versiones.</w:t>
      </w:r>
    </w:p>
    <w:p w:rsidR="00F414A5" w:rsidRPr="00CC6F98" w:rsidRDefault="00F414A5" w:rsidP="00F414A5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068"/>
        </w:tabs>
        <w:spacing w:after="160" w:line="259" w:lineRule="auto"/>
        <w:jc w:val="both"/>
        <w:rPr>
          <w:lang w:val="es-ES"/>
        </w:rPr>
      </w:pPr>
      <w:r w:rsidRPr="00CC6F98">
        <w:rPr>
          <w:lang w:val="es-ES"/>
        </w:rPr>
        <w:t>Apoyar la elaboración de informe sobre el estado de la configuración.</w:t>
      </w:r>
    </w:p>
    <w:p w:rsidR="00F414A5" w:rsidRDefault="00F414A5" w:rsidP="00F414A5"/>
    <w:p w:rsidR="00F414A5" w:rsidRDefault="00F414A5" w:rsidP="00F414A5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15" w:name="_Toc468899099"/>
      <w:bookmarkStart w:id="16" w:name="_Toc472618540"/>
      <w:r>
        <w:t>Personal de apoyo</w:t>
      </w:r>
      <w:bookmarkEnd w:id="15"/>
      <w:bookmarkEnd w:id="16"/>
    </w:p>
    <w:p w:rsidR="00F414A5" w:rsidRPr="00CC6F98" w:rsidRDefault="00F414A5" w:rsidP="00F414A5">
      <w:pPr>
        <w:jc w:val="both"/>
        <w:rPr>
          <w:lang w:val="es-ES"/>
        </w:rPr>
      </w:pPr>
      <w:r w:rsidRPr="00CC6F98">
        <w:rPr>
          <w:lang w:val="es-ES"/>
        </w:rPr>
        <w:t>Las responsabilidades del personal de apoyo incluyen:</w:t>
      </w:r>
    </w:p>
    <w:p w:rsidR="00F414A5" w:rsidRDefault="00F414A5" w:rsidP="00F414A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60"/>
          <w:tab w:val="num" w:pos="1068"/>
        </w:tabs>
        <w:spacing w:after="0" w:line="240" w:lineRule="auto"/>
        <w:ind w:left="1068"/>
        <w:jc w:val="both"/>
      </w:pPr>
      <w:r>
        <w:t>Desarrollar tareas administrativas para los representantes de SCM.</w:t>
      </w:r>
    </w:p>
    <w:p w:rsidR="00F414A5" w:rsidRDefault="00F414A5" w:rsidP="00F414A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60"/>
          <w:tab w:val="num" w:pos="1068"/>
        </w:tabs>
        <w:spacing w:after="0" w:line="240" w:lineRule="auto"/>
        <w:ind w:left="1068"/>
        <w:jc w:val="both"/>
      </w:pPr>
      <w:r>
        <w:t>Completar los informes de SCM.</w:t>
      </w:r>
    </w:p>
    <w:p w:rsidR="00F414A5" w:rsidRDefault="00F414A5" w:rsidP="00F414A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60"/>
          <w:tab w:val="num" w:pos="1068"/>
        </w:tabs>
        <w:spacing w:after="0" w:line="240" w:lineRule="auto"/>
        <w:ind w:left="1068"/>
        <w:jc w:val="both"/>
      </w:pPr>
      <w:r>
        <w:t>Interactuar con las diferentes herramientas utilizadas para SCM durante un proyecto.</w:t>
      </w:r>
    </w:p>
    <w:p w:rsidR="00F414A5" w:rsidRDefault="00F414A5" w:rsidP="00F414A5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360"/>
          <w:tab w:val="num" w:pos="1068"/>
        </w:tabs>
        <w:spacing w:after="0" w:line="240" w:lineRule="auto"/>
        <w:ind w:left="1068"/>
        <w:jc w:val="both"/>
      </w:pPr>
      <w:r>
        <w:t>Interactuar con el personal de SCM según sea necesario.</w:t>
      </w:r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7" w:name="_Toc512553730"/>
      <w:r>
        <w:t>Políticas, directrices y procedimientos</w:t>
      </w:r>
      <w:bookmarkEnd w:id="17"/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8" w:name="_Toc512553731"/>
      <w:r>
        <w:t>Herramientas, entorno e infraestructura</w:t>
      </w:r>
      <w:bookmarkEnd w:id="18"/>
    </w:p>
    <w:p w:rsidR="0093771C" w:rsidRPr="0093771C" w:rsidRDefault="0093771C" w:rsidP="0093771C"/>
    <w:p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9" w:name="_Toc512553732"/>
      <w:r>
        <w:t>Herramientas de control de versiones</w:t>
      </w:r>
      <w:bookmarkEnd w:id="19"/>
    </w:p>
    <w:p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20" w:name="_Toc512553733"/>
      <w:r>
        <w:t>Herramientas de entorno</w:t>
      </w:r>
      <w:bookmarkEnd w:id="20"/>
    </w:p>
    <w:p w:rsidR="0093771C" w:rsidRPr="0093771C" w:rsidRDefault="0093771C" w:rsidP="0093771C"/>
    <w:p w:rsidR="008C579C" w:rsidRDefault="008C579C" w:rsidP="008C579C">
      <w:pPr>
        <w:pStyle w:val="Ttulo2"/>
        <w:numPr>
          <w:ilvl w:val="1"/>
          <w:numId w:val="4"/>
        </w:numPr>
        <w:jc w:val="both"/>
      </w:pPr>
      <w:bookmarkStart w:id="21" w:name="_Toc512553734"/>
      <w:r>
        <w:lastRenderedPageBreak/>
        <w:t>Calendario</w:t>
      </w:r>
      <w:bookmarkEnd w:id="21"/>
    </w:p>
    <w:p w:rsidR="0093771C" w:rsidRPr="0093771C" w:rsidRDefault="0093771C" w:rsidP="0093771C"/>
    <w:p w:rsidR="00523C09" w:rsidRPr="00523C09" w:rsidRDefault="00523C09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523C09" w:rsidRPr="00523C09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B4F" w:rsidRDefault="00AB2B4F">
      <w:pPr>
        <w:spacing w:after="0" w:line="240" w:lineRule="auto"/>
      </w:pPr>
      <w:r>
        <w:separator/>
      </w:r>
    </w:p>
  </w:endnote>
  <w:endnote w:type="continuationSeparator" w:id="0">
    <w:p w:rsidR="00AB2B4F" w:rsidRDefault="00AB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B4F" w:rsidRDefault="00AB2B4F">
      <w:pPr>
        <w:spacing w:after="0" w:line="240" w:lineRule="auto"/>
      </w:pPr>
      <w:r>
        <w:separator/>
      </w:r>
    </w:p>
  </w:footnote>
  <w:footnote w:type="continuationSeparator" w:id="0">
    <w:p w:rsidR="00AB2B4F" w:rsidRDefault="00AB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2A280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7D4977"/>
    <w:multiLevelType w:val="hybridMultilevel"/>
    <w:tmpl w:val="55EA8A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2" w15:restartNumberingAfterBreak="0">
    <w:nsid w:val="6AFD2948"/>
    <w:multiLevelType w:val="hybridMultilevel"/>
    <w:tmpl w:val="4F1AE7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1318F"/>
    <w:multiLevelType w:val="hybridMultilevel"/>
    <w:tmpl w:val="1400B52A"/>
    <w:lvl w:ilvl="0" w:tplc="FD0C3F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6EE7"/>
    <w:multiLevelType w:val="hybridMultilevel"/>
    <w:tmpl w:val="E7A07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C2BEC"/>
    <w:multiLevelType w:val="hybridMultilevel"/>
    <w:tmpl w:val="6FC446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15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AD"/>
    <w:rsid w:val="00010B07"/>
    <w:rsid w:val="00014F9A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E2D4F"/>
    <w:rsid w:val="001F1D39"/>
    <w:rsid w:val="00211EB8"/>
    <w:rsid w:val="00215B4D"/>
    <w:rsid w:val="00233569"/>
    <w:rsid w:val="0023418E"/>
    <w:rsid w:val="00240A84"/>
    <w:rsid w:val="00270447"/>
    <w:rsid w:val="0027541A"/>
    <w:rsid w:val="00297F23"/>
    <w:rsid w:val="002C13B9"/>
    <w:rsid w:val="00302513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3C09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9757D"/>
    <w:rsid w:val="006A2182"/>
    <w:rsid w:val="006A234E"/>
    <w:rsid w:val="00712EE3"/>
    <w:rsid w:val="00717885"/>
    <w:rsid w:val="00723B6D"/>
    <w:rsid w:val="00727394"/>
    <w:rsid w:val="007B6C7E"/>
    <w:rsid w:val="007D0BED"/>
    <w:rsid w:val="007D4FFB"/>
    <w:rsid w:val="007E3E9D"/>
    <w:rsid w:val="007F2C0F"/>
    <w:rsid w:val="008032A0"/>
    <w:rsid w:val="00816311"/>
    <w:rsid w:val="00827C48"/>
    <w:rsid w:val="00866D52"/>
    <w:rsid w:val="008C579C"/>
    <w:rsid w:val="008D38C8"/>
    <w:rsid w:val="00902F10"/>
    <w:rsid w:val="009078B8"/>
    <w:rsid w:val="00934174"/>
    <w:rsid w:val="0093771C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B2B4F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F414A5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C6DC4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5364C-85E3-4F5E-B81C-6232E490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jose andres carrillo estrada</cp:lastModifiedBy>
  <cp:revision>58</cp:revision>
  <dcterms:created xsi:type="dcterms:W3CDTF">2018-04-13T21:50:00Z</dcterms:created>
  <dcterms:modified xsi:type="dcterms:W3CDTF">2018-04-27T06:11:00Z</dcterms:modified>
</cp:coreProperties>
</file>