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ans CJK SC" w:ascii="Liberation Sans" w:hAnsi="Liberation Sans"/>
        </w:rPr>
        <w:t>游戏库首版（Codex 执行版任务文档）v0.1</w:t>
      </w:r>
    </w:p>
    <w:p>
      <w:pPr>
        <w:pStyle w:val="Subtitle"/>
        <w:spacing w:before="0" w:after="200" w:line="276" w:lineRule="auto"/>
      </w:pPr>
      <w:r>
        <w:rPr>
          <w:rFonts w:eastAsia="Noto Sans CJK SC" w:ascii="Liberation Sans" w:hAnsi="Liberation Sans"/>
        </w:rPr>
        <w:t>用于阶段二开发执行、任务拆分、验收与交付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1FB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文档定位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BFF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sz w:val="18"/>
              </w:rPr>
              <w:t>游戏库首版执行版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1FB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上游文档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BFF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sz w:val="18"/>
              </w:rPr>
              <w:t>《游戏库首版（范围草案）v0.1》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746"/>
            <w:shd w:fill="244C7D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FFFFFF"/>
                <w:sz w:val="21"/>
              </w:rPr>
              <w:t>执行摘要</w:t>
            </w:r>
          </w:p>
        </w:tc>
      </w:tr>
      <w:tr>
        <w:tc>
          <w:tcPr>
            <w:tcW w:type="dxa" w:w="9746"/>
            <w:shd w:fill="F4F8F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20" w:after="20" w:line="293" w:lineRule="auto"/>
              <w:ind w:left="125" w:hanging="102"/>
            </w:pPr>
            <w:r>
              <w:rPr>
                <w:rFonts w:eastAsia="Noto Sans CJK SC" w:ascii="Liberation Sans" w:hAnsi="Liberation Sans"/>
              </w:rPr>
              <w:t>• 本执行版默认承接《游戏库首版（范围草案）》中的产品边界，不重定义项目定位，不把 Game Library 推向 launcher / 商店 / 账户平台。</w:t>
            </w:r>
          </w:p>
          <w:p>
            <w:pPr>
              <w:spacing w:before="20" w:after="20" w:line="293" w:lineRule="auto"/>
              <w:ind w:left="125" w:hanging="102"/>
            </w:pPr>
            <w:r>
              <w:rPr>
                <w:rFonts w:eastAsia="Noto Sans CJK SC" w:ascii="Liberation Sans" w:hAnsi="Liberation Sans"/>
              </w:rPr>
              <w:t>• 执行优先级按“先识别规则与路由合同 → 再页面与浏览基线 → 再打开动作与状态闭环 → 最后 QA / 文档 / 验收”推进。</w:t>
            </w:r>
          </w:p>
          <w:p>
            <w:pPr>
              <w:spacing w:before="20" w:after="20" w:line="293" w:lineRule="auto"/>
              <w:ind w:left="125" w:hanging="102"/>
            </w:pPr>
            <w:r>
              <w:rPr>
                <w:rFonts w:eastAsia="Noto Sans CJK SC" w:ascii="Liberation Sans" w:hAnsi="Liberation Sans"/>
              </w:rPr>
              <w:t>• 若识别稳定性与平台边界发生冲突，优先选择更窄但更稳的纳入范围，宁可少收，不要让假阳性把游戏库做脏。</w:t>
            </w:r>
          </w:p>
        </w:tc>
      </w:tr>
    </w:tbl>
    <w:p/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1. 文档目的与使用方式</w:t>
      </w:r>
    </w:p>
    <w:p>
      <w:pPr>
        <w:spacing w:before="0" w:after="80" w:line="307" w:lineRule="auto"/>
      </w:pPr>
      <w:r>
        <w:rPr>
          <w:rFonts w:eastAsia="Noto Sans CJK SC" w:ascii="Liberation Sans" w:hAnsi="Liberation Sans"/>
        </w:rPr>
        <w:t>本文档不是范围讨论稿，而是交给 Codex 使用的执行版任务文档。它的职责是把《游戏库首版（范围草案）》压缩为可实施的任务包、顺序、约束与验收口径。若本执行版与后续人工冻结结论冲突，以新的人工冻结为准；在此之前，Codex 应按本文默认口径实施。</w:t>
      </w:r>
    </w:p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2. 上游固定约束（不得改写）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当前项目仍是建立在真实文件系统之上的 indexed-files workbench；files 是统一索引对象，Game Library 只能作为 subset surface 扩展，不得另起独立事实层。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shared details 仍是跨页面详情与动作中心；游戏库不得分叉出独立的重详情系统。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Search / tags / color tags / collections 仍是横向复用组织层，游戏库必须接入这条复用链而不是脱离它自行闭环。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桌面打开动作仍由现有薄壳 open actions 承接；首版不新增平台级启动中心或账户系统。</w:t>
      </w:r>
    </w:p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3. 本执行版采用的暂定口径（用于推动编码）</w:t>
      </w:r>
    </w:p>
    <w:p>
      <w:pPr>
        <w:spacing w:before="0" w:after="80" w:line="307" w:lineRule="auto"/>
      </w:pPr>
      <w:r>
        <w:rPr>
          <w:rFonts w:eastAsia="Noto Sans CJK SC" w:ascii="Liberation Sans" w:hAnsi="Liberation Sans"/>
        </w:rPr>
        <w:t>由于用户尚未对所有细节逐条拍板，本文采用一组“可执行但保守”的暂定口径，目的是先把阶段二推进起来，同时尽量避免后续返工。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175"/>
      </w:tblGrid>
      <w:tr>
        <w:tc>
          <w:tcPr>
            <w:tcW w:type="dxa" w:w="3249"/>
            <w:shd w:fill="DCE8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44778"/>
                <w:sz w:val="18"/>
              </w:rPr>
              <w:t>项目</w:t>
            </w:r>
          </w:p>
        </w:tc>
        <w:tc>
          <w:tcPr>
            <w:tcW w:type="dxa" w:w="3249"/>
            <w:shd w:fill="DCE8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44778"/>
                <w:sz w:val="18"/>
              </w:rPr>
              <w:t>暂定执行口径</w:t>
            </w:r>
          </w:p>
        </w:tc>
        <w:tc>
          <w:tcPr>
            <w:tcW w:type="dxa" w:w="3249"/>
            <w:shd w:fill="DCE8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44778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Route</w:t>
            </w:r>
          </w:p>
        </w:tc>
        <w:tc>
          <w:tcPr>
            <w:tcW w:type="dxa" w:w="453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/library/games</w:t>
            </w:r>
          </w:p>
        </w:tc>
        <w:tc>
          <w:tcPr>
            <w:tcW w:type="dxa" w:w="317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先以独立路由落位，名称后续可再冻结；本版先不为命名争论阻塞实现。</w:t>
            </w:r>
          </w:p>
        </w:tc>
      </w:tr>
      <w:tr>
        <w:tc>
          <w:tcPr>
            <w:tcW w:type="dxa" w:w="1701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首版纳入条目</w:t>
            </w:r>
          </w:p>
        </w:tc>
        <w:tc>
          <w:tcPr>
            <w:tcW w:type="dxa" w:w="453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以 active indexed files 为基础，优先纳入可执行入口型文件与快捷方式型文件；压缩包、ROM 生态、下载中内容默认不作为首版一等公民。</w:t>
            </w:r>
          </w:p>
        </w:tc>
        <w:tc>
          <w:tcPr>
            <w:tcW w:type="dxa" w:w="317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先求可用入口，不把识别范围铺太宽。</w:t>
            </w:r>
          </w:p>
        </w:tc>
      </w:tr>
      <w:tr>
        <w:tc>
          <w:tcPr>
            <w:tcW w:type="dxa" w:w="1701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展示字段</w:t>
            </w:r>
          </w:p>
        </w:tc>
        <w:tc>
          <w:tcPr>
            <w:tcW w:type="dxa" w:w="453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标题、路径、来源、扩展名/类型、图标或封面回退、轻量状态字段、tags / color tag 回显。</w:t>
            </w:r>
          </w:p>
        </w:tc>
        <w:tc>
          <w:tcPr>
            <w:tcW w:type="dxa" w:w="317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字段不足时优先回退到 files 语义，不补造虚假 metadata。</w:t>
            </w:r>
          </w:p>
        </w:tc>
      </w:tr>
      <w:tr>
        <w:tc>
          <w:tcPr>
            <w:tcW w:type="dxa" w:w="1701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打开动作</w:t>
            </w:r>
          </w:p>
        </w:tc>
        <w:tc>
          <w:tcPr>
            <w:tcW w:type="dxa" w:w="453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默认至少支持“打开原文件 / 打开所在目录”；若当前壳层已可安全承接，则允许最小启动入口。</w:t>
            </w:r>
          </w:p>
        </w:tc>
        <w:tc>
          <w:tcPr>
            <w:tcW w:type="dxa" w:w="317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启动能力服从现有壳层边界。</w:t>
            </w:r>
          </w:p>
        </w:tc>
      </w:tr>
      <w:tr>
        <w:tc>
          <w:tcPr>
            <w:tcW w:type="dxa" w:w="1701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状态型组织</w:t>
            </w:r>
          </w:p>
        </w:tc>
        <w:tc>
          <w:tcPr>
            <w:tcW w:type="dxa" w:w="453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首版进入，但只做少量固定状态，例如“在玩 / 通关 / 搁置”。</w:t>
            </w:r>
          </w:p>
        </w:tc>
        <w:tc>
          <w:tcPr>
            <w:tcW w:type="dxa" w:w="3175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不扩展成完整游戏档案或时长系统。</w:t>
            </w:r>
          </w:p>
        </w:tc>
      </w:tr>
    </w:tbl>
    <w:p/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4. 执行顺序总览</w:t>
      </w:r>
    </w:p>
    <w:p>
      <w:pPr>
        <w:spacing w:before="0" w:after="80" w:line="307" w:lineRule="auto"/>
      </w:pPr>
      <w:r>
        <w:rPr>
          <w:rFonts w:eastAsia="Noto Sans CJK SC" w:ascii="Liberation Sans" w:hAnsi="Liberation Sans"/>
        </w:rPr>
        <w:t>执行顺序固定为 4 个工作包。除非遇到严重阻塞，不建议跳序并行重叠过多。前一个工作包至少应达到“接口与边界已稳定”的状态，才进入后一个工作包。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WP-1：识别规则与后端合同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WP-2：前端页面与浏览基线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WP-3：详情、动作与状态闭环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WP-4：QA、文档、演示路径与验收</w:t>
      </w:r>
    </w:p>
    <w:p>
      <w:pPr>
        <w:pStyle w:val="Heading2"/>
        <w:spacing w:before="120" w:after="40" w:line="276" w:lineRule="auto"/>
      </w:pPr>
      <w:r>
        <w:rPr>
          <w:rFonts w:eastAsia="Noto Sans CJK SC" w:ascii="Liberation Sans" w:hAnsi="Liberation Sans"/>
        </w:rPr>
        <w:t>5. WP-1：识别规则与后端合同</w:t>
      </w:r>
    </w:p>
    <w:p>
      <w:pPr>
        <w:spacing w:before="0" w:after="60" w:line="307" w:lineRule="auto"/>
      </w:pPr>
      <w:r>
        <w:rPr>
          <w:rFonts w:eastAsia="Noto Sans CJK SC" w:ascii="Liberation Sans" w:hAnsi="Liberation Sans"/>
        </w:rPr>
        <w:t>目标：先把“什么会进入游戏库、如何回退、接口吐什么字段”冻结成代码和文档都能共同依赖的基础合同。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字段</w:t>
            </w:r>
          </w:p>
        </w:tc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交付物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新增或补强游戏库列表接口；完成首版候选条目识别规则；输出字段说明；对无法增强显示的条目定义清晰回退策略；必要时补最小测试覆盖。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约束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不得为了提高命中率而引入重外部 metadata 依赖；不得新建独立游戏中心表替代 files；若识别规则不稳，优先缩窄范围，不要扩大假阳性。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验收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Route 可用；字段稳定；范围书面化；不会把普通软件大面积误判为游戏库条目；无法增强展示时能自然回退到 files 语义。</w:t>
            </w:r>
          </w:p>
        </w:tc>
      </w:tr>
    </w:tbl>
    <w:p/>
    <w:p>
      <w:pPr>
        <w:pStyle w:val="Heading2"/>
        <w:spacing w:before="120" w:after="40" w:line="276" w:lineRule="auto"/>
      </w:pPr>
      <w:r>
        <w:rPr>
          <w:rFonts w:eastAsia="Noto Sans CJK SC" w:ascii="Liberation Sans" w:hAnsi="Liberation Sans"/>
        </w:rPr>
        <w:t>6. WP-2：前端页面与浏览基线</w:t>
      </w:r>
    </w:p>
    <w:p>
      <w:pPr>
        <w:spacing w:before="0" w:after="60" w:line="307" w:lineRule="auto"/>
      </w:pPr>
      <w:r>
        <w:rPr>
          <w:rFonts w:eastAsia="Noto Sans CJK SC" w:ascii="Liberation Sans" w:hAnsi="Liberation Sans"/>
        </w:rPr>
        <w:t>目标：新增真实可进入的 Game Library page，使其具备库式浏览入口，而不是仅有后端 route。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字段</w:t>
            </w:r>
          </w:p>
        </w:tc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交付物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新增页面 / 导航入口；建立封面或图标优先的卡片浏览；接入基础筛选、排序与搜索回流；与 shared details 的选择状态打通；保持空态、无结果态、加载态完整。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约束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不得单独发明游戏库私有详情系统；不得做成资讯流 / 商店首页；不得为了视觉而脱离现有 shared components 体系。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验收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用户可以进入游戏库页、浏览条目、点开详情、再返回筛选；视觉上能明显感知这是“库入口”，但仍属于同一产品体系。</w:t>
            </w:r>
          </w:p>
        </w:tc>
      </w:tr>
    </w:tbl>
    <w:p/>
    <w:p>
      <w:pPr>
        <w:pStyle w:val="Heading2"/>
        <w:spacing w:before="120" w:after="40" w:line="276" w:lineRule="auto"/>
      </w:pPr>
      <w:r>
        <w:rPr>
          <w:rFonts w:eastAsia="Noto Sans CJK SC" w:ascii="Liberation Sans" w:hAnsi="Liberation Sans"/>
        </w:rPr>
        <w:t>7. WP-3：详情、动作与状态闭环</w:t>
      </w:r>
    </w:p>
    <w:p>
      <w:pPr>
        <w:spacing w:before="0" w:after="60" w:line="307" w:lineRule="auto"/>
      </w:pPr>
      <w:r>
        <w:rPr>
          <w:rFonts w:eastAsia="Noto Sans CJK SC" w:ascii="Liberation Sans" w:hAnsi="Liberation Sans"/>
        </w:rPr>
        <w:t>目标：让游戏库从“能看”推进到“能轻量使用并再次找回”，但仍保持边界克制。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字段</w:t>
            </w:r>
          </w:p>
        </w:tc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交付物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在 shared details 中补齐游戏条目展示所需字段；接入最小打开动作与打开目录动作；接入固定少量状态字段；使状态、tags、color tags、collections 参与再次找回。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约束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不做游玩时长、成就、账号同步、下载器、商店、复杂 launcher 配置中心；状态只能是轻量组织语义，不得演化成完整人物档案式系统。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验收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用户能完成“浏览 → 查看详情 → 标记状态 / 标签 → 再次找回 → 打开”的闭环；动作仍建立在当前壳层能力之上；未出现平台化漂移。</w:t>
            </w:r>
          </w:p>
        </w:tc>
      </w:tr>
    </w:tbl>
    <w:p/>
    <w:p>
      <w:pPr>
        <w:pStyle w:val="Heading2"/>
        <w:spacing w:before="120" w:after="40" w:line="276" w:lineRule="auto"/>
      </w:pPr>
      <w:r>
        <w:rPr>
          <w:rFonts w:eastAsia="Noto Sans CJK SC" w:ascii="Liberation Sans" w:hAnsi="Liberation Sans"/>
        </w:rPr>
        <w:t>8. WP-4：QA、文档、演示路径与验收</w:t>
      </w:r>
    </w:p>
    <w:p>
      <w:pPr>
        <w:spacing w:before="0" w:after="60" w:line="307" w:lineRule="auto"/>
      </w:pPr>
      <w:r>
        <w:rPr>
          <w:rFonts w:eastAsia="Noto Sans CJK SC" w:ascii="Liberation Sans" w:hAnsi="Liberation Sans"/>
        </w:rPr>
        <w:t>目标：把阶段二从“功能片段”收成可交付、可演示、可继续承接阶段三的切片。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字段</w:t>
            </w:r>
          </w:p>
        </w:tc>
        <w:tc>
          <w:tcPr>
            <w:tcW w:type="dxa" w:w="4873"/>
            <w:shd w:fill="E8F0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交付物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更新 README 或阶段文档中的当前状态说明；补执行记录；完成关键路径手工验证；如已有自动化基线，则补必要 smoke / unit 测试；整理演示路径。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约束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不得把阶段二剩余问题静默留在代码里不说明；不得把“待人工拍板事项”写成已冻结事实；必须明确哪些是假设、哪些是正式实现。</w:t>
            </w:r>
          </w:p>
        </w:tc>
      </w:tr>
      <w:tr>
        <w:tc>
          <w:tcPr>
            <w:tcW w:type="dxa" w:w="1814"/>
            <w:shd w:fill="F1F6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8"/>
              </w:rPr>
              <w:t>验收</w:t>
            </w:r>
          </w:p>
        </w:tc>
        <w:tc>
          <w:tcPr>
            <w:tcW w:type="dxa" w:w="7483"/>
            <w:shd w:fill="F7FA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8"/>
              </w:rPr>
              <w:t>阶段二交付后，团队能明确回答：识别什么、怎么看、怎么标记、怎么再找回、怎么打开；并且能顺利承接到 Books / Software 增强阶段。</w:t>
            </w:r>
          </w:p>
        </w:tc>
      </w:tr>
    </w:tbl>
    <w:p/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9. Codex 任务拆分建议</w:t>
      </w:r>
    </w:p>
    <w:p>
      <w:pPr>
        <w:spacing w:before="0" w:after="80" w:line="307" w:lineRule="auto"/>
      </w:pPr>
      <w:r>
        <w:rPr>
          <w:rFonts w:eastAsia="Noto Sans CJK SC" w:ascii="Liberation Sans" w:hAnsi="Liberation Sans"/>
        </w:rPr>
        <w:t>为降低单任务上下文过载，建议把阶段二拆成 3 个主任务 + 1 个收尾任务，而不是一次性塞给 Codex 一个超大任务。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2211"/>
        <w:gridCol w:w="3969"/>
        <w:gridCol w:w="2324"/>
      </w:tblGrid>
      <w:tr>
        <w:tc>
          <w:tcPr>
            <w:tcW w:type="dxa" w:w="2436"/>
            <w:shd w:fill="DCE8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任务</w:t>
            </w:r>
          </w:p>
        </w:tc>
        <w:tc>
          <w:tcPr>
            <w:tcW w:type="dxa" w:w="2436"/>
            <w:shd w:fill="DCE8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主题</w:t>
            </w:r>
          </w:p>
        </w:tc>
        <w:tc>
          <w:tcPr>
            <w:tcW w:type="dxa" w:w="2436"/>
            <w:shd w:fill="DCE8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主要内容</w:t>
            </w:r>
          </w:p>
        </w:tc>
        <w:tc>
          <w:tcPr>
            <w:tcW w:type="dxa" w:w="2436"/>
            <w:shd w:fill="DCE8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eastAsia="Noto Sans CJK SC" w:ascii="Liberation Sans" w:hAnsi="Liberation Sans"/>
                <w:b/>
                <w:color w:val="234879"/>
                <w:sz w:val="18"/>
              </w:rPr>
              <w:t>完成标志</w:t>
            </w:r>
          </w:p>
        </w:tc>
      </w:tr>
      <w:tr>
        <w:tc>
          <w:tcPr>
            <w:tcW w:type="dxa" w:w="850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7"/>
              </w:rPr>
              <w:t>T1</w:t>
            </w:r>
          </w:p>
        </w:tc>
        <w:tc>
          <w:tcPr>
            <w:tcW w:type="dxa" w:w="2211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后端识别与合同</w:t>
            </w:r>
          </w:p>
        </w:tc>
        <w:tc>
          <w:tcPr>
            <w:tcW w:type="dxa" w:w="3969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实现 /library/games 列表侧最小合同，补识别规则、字段和回退逻辑。</w:t>
            </w:r>
          </w:p>
        </w:tc>
        <w:tc>
          <w:tcPr>
            <w:tcW w:type="dxa" w:w="2324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接口稳定，可返回可用条目集合。</w:t>
            </w:r>
          </w:p>
        </w:tc>
      </w:tr>
      <w:tr>
        <w:tc>
          <w:tcPr>
            <w:tcW w:type="dxa" w:w="850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7"/>
              </w:rPr>
              <w:t>T2</w:t>
            </w:r>
          </w:p>
        </w:tc>
        <w:tc>
          <w:tcPr>
            <w:tcW w:type="dxa" w:w="2211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页面与浏览基线</w:t>
            </w:r>
          </w:p>
        </w:tc>
        <w:tc>
          <w:tcPr>
            <w:tcW w:type="dxa" w:w="3969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新增 GameLibraryPage / Feature，接入导航、卡片、筛选、与 details 的选择联动。</w:t>
            </w:r>
          </w:p>
        </w:tc>
        <w:tc>
          <w:tcPr>
            <w:tcW w:type="dxa" w:w="2324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页面可进入、可浏览、可筛选。</w:t>
            </w:r>
          </w:p>
        </w:tc>
      </w:tr>
      <w:tr>
        <w:tc>
          <w:tcPr>
            <w:tcW w:type="dxa" w:w="850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7"/>
              </w:rPr>
              <w:t>T3</w:t>
            </w:r>
          </w:p>
        </w:tc>
        <w:tc>
          <w:tcPr>
            <w:tcW w:type="dxa" w:w="2211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动作与状态闭环</w:t>
            </w:r>
          </w:p>
        </w:tc>
        <w:tc>
          <w:tcPr>
            <w:tcW w:type="dxa" w:w="3969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接入打开动作、状态字段、tags / color tags / collections 回流。</w:t>
            </w:r>
          </w:p>
        </w:tc>
        <w:tc>
          <w:tcPr>
            <w:tcW w:type="dxa" w:w="2324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基本闭环跑通。</w:t>
            </w:r>
          </w:p>
        </w:tc>
      </w:tr>
      <w:tr>
        <w:tc>
          <w:tcPr>
            <w:tcW w:type="dxa" w:w="850"/>
            <w:shd w:fill="F3F7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b/>
                <w:sz w:val="17"/>
              </w:rPr>
              <w:t>T4</w:t>
            </w:r>
          </w:p>
        </w:tc>
        <w:tc>
          <w:tcPr>
            <w:tcW w:type="dxa" w:w="2211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QA 与文档</w:t>
            </w:r>
          </w:p>
        </w:tc>
        <w:tc>
          <w:tcPr>
            <w:tcW w:type="dxa" w:w="3969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测试、手工验收、当前状态文档更新、演示路径整理。</w:t>
            </w:r>
          </w:p>
        </w:tc>
        <w:tc>
          <w:tcPr>
            <w:tcW w:type="dxa" w:w="2324"/>
            <w:shd w:fill="F9FBF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eastAsia="Noto Sans CJK SC" w:ascii="Liberation Sans" w:hAnsi="Liberation Sans"/>
                <w:sz w:val="17"/>
              </w:rPr>
              <w:t>阶段切片可交付。</w:t>
            </w:r>
          </w:p>
        </w:tc>
      </w:tr>
    </w:tbl>
    <w:p/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10. 文件与代码层面的默认落位原则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后端继续按现有 apps/backend 的 router / service / repository 分层落位；不要让路由层承接识别规则。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前端继续按页面 + feature + shared components 落位；不要让游戏库为了省事直接复制 Media / Software 的整套实现。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若需要新增共用 UI，优先抽到 shared components；若只是游戏库阶段性的特化展示，可保留在 GameLibraryFeature 内部。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桌面层只承接最小 open actions；不在本阶段新增复杂桌面业务逻辑。</w:t>
      </w:r>
    </w:p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11. 明确禁止项（Codex 不得擅自扩展）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不得把游戏库做成 launcher 平台、游戏平台首页、社区页、资讯页。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不得引入账户绑定、游玩时长、成就、云存档、好友、商店、下载器。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不得创建脱离 files 的独立游戏事实层、重对象中台或复杂异步扫描平台。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不得为了“未来扩展”而先做大而空的抽象层；当前阶段只做首版所需抽象。</w:t>
      </w:r>
    </w:p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12. 人工验收清单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可以从导航进入 Game Library。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能看到一组真实可浏览的游戏条目，且不是普通软件的大面积污染集合。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单击能进 shared details；双击或动作按钮能触发最小打开动作。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状态、tags、color tags 至少有一条再次找回链路可验证。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与 Search、Files、Collections、Tags 的关系清晰，没有形成孤岛。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当前状态文档 / 阶段执行记录已同步，未把假设写成既定事实。</w:t>
      </w:r>
    </w:p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13. 当前仍需人工拍板，但不阻塞首轮编码的点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首版纳入条目的更精细目录/扩展名规则。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打开动作是否允许“最小启动入口”默认可见，还是仅在桌面壳可用时显式呈现。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状态字段的正式命名与枚举是否保持“在玩 / 通关 / 搁置”三值，或增加“待玩”。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封面 / 图标 / 标题展示的最终回退顺序。</w:t>
      </w:r>
    </w:p>
    <w:p>
      <w:pPr>
        <w:spacing w:before="0" w:after="20" w:line="293" w:lineRule="auto"/>
        <w:ind w:left="255" w:hanging="102"/>
      </w:pPr>
      <w:r>
        <w:rPr>
          <w:rFonts w:eastAsia="Noto Sans CJK SC" w:ascii="Liberation Sans" w:hAnsi="Liberation Sans"/>
        </w:rPr>
        <w:t>• Route 命名是否最终冻结为 /library/games。</w:t>
      </w:r>
    </w:p>
    <w:p>
      <w:pPr>
        <w:pStyle w:val="Heading1"/>
        <w:spacing w:before="200" w:after="60" w:line="276" w:lineRule="auto"/>
      </w:pPr>
      <w:r>
        <w:rPr>
          <w:rFonts w:eastAsia="Noto Sans CJK SC" w:ascii="Liberation Sans" w:hAnsi="Liberation Sans"/>
        </w:rPr>
        <w:t>14. 阶段完成后的下一步</w:t>
      </w:r>
    </w:p>
    <w:p>
      <w:pPr>
        <w:spacing w:before="0" w:after="80" w:line="307" w:lineRule="auto"/>
      </w:pPr>
      <w:r>
        <w:rPr>
          <w:rFonts w:eastAsia="Noto Sans CJK SC" w:ascii="Liberation Sans" w:hAnsi="Liberation Sans"/>
        </w:rPr>
        <w:t>阶段二完成后，不应直接跳去稳定性总收口，而应进入《电子书库增强版（范围草案）》与《软件库增强版（范围草案）》，继续沿着“先补垂类库，再补横向组织层”的顺序推进。</w:t>
      </w:r>
    </w:p>
    <w:p>
      <w:pPr>
        <w:pStyle w:val="BodySmall"/>
        <w:spacing w:before="160" w:after="0" w:line="276" w:lineRule="auto"/>
      </w:pPr>
      <w:r>
        <w:rPr>
          <w:rFonts w:eastAsia="Noto Sans CJK SC" w:ascii="Liberation Sans" w:hAnsi="Liberation Sans"/>
        </w:rPr>
        <w:t>注：本执行版基于当前项目文档与上游范围草案整理，默认服务于“推动编码开始”的目标，因此含有少量临时执行口径；后续若有人工作出更严格冻结版，应以新的人工冻结为准。</w:t>
      </w:r>
    </w:p>
    <w:sectPr w:rsidR="00FC693F" w:rsidRPr="0006063C" w:rsidSect="00034616">
      <w:footerReference w:type="default" r:id="rId9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Noto Sans CJK SC" w:ascii="Liberation Sans" w:hAnsi="Liberation Sans"/>
        <w:color w:val="788291"/>
        <w:sz w:val="17"/>
      </w:rPr>
      <w:t>Game Library · Codex 执行版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CJK SC"/>
      <w:color w:val="23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A3F7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2148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2C58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62E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b w:val="0"/>
      <w:i/>
      <w:iCs/>
      <w:color w:val="606C8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Liberation Sans" w:hAnsi="Liberation Sans" w:eastAsia="Noto Sans CJK SC"/>
      <w:color w:val="5E68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