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sz w:val="24"/>
          <w:szCs w:val="24"/>
        </w:rPr>
        <w:t xml:space="preserve">АКТ ВВОДА В ЭКСПЛУАТАЦИЮ
Модуль расчета KPI по табелю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АО "ННМЦ"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АКТ ВВОДА В ЭКСПЛУАТАЦИЮ</w:t>
            </w:r>
          </w:p>
          <w:p>
            <w:r>
              <w:rPr>
                <w:sz w:val="24"/>
                <w:szCs w:val="24"/>
              </w:rPr>
              <w:t xml:space="preserve">Модуль расчета KPI по табелю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Версия документа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Дата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09.07.2026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Статус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 для согласования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Согласовано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 / 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Ответственный бизнес-подразделения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IT-ответственный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sz w:val="24"/>
          <w:szCs w:val="24"/>
        </w:rPr>
        <w:t xml:space="preserve">1. Основание ввода</w:t>
      </w:r>
    </w:p>
    <w:p>
      <w:r>
        <w:rPr>
          <w:sz w:val="24"/>
          <w:szCs w:val="24"/>
        </w:rPr>
        <w:t xml:space="preserve">Настоящий акт подтверждает готовность модуля расчета KPI по табелю к опытной или промышленной эксплуатации в корпоративной системе АО "ННМЦ".</w:t>
      </w:r>
    </w:p>
    <w:p>
      <w:pPr>
        <w:pStyle w:val="Heading1"/>
      </w:pPr>
      <w:r>
        <w:rPr>
          <w:b/>
          <w:sz w:val="24"/>
          <w:szCs w:val="24"/>
        </w:rPr>
        <w:t xml:space="preserve">2. Состав комиссии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Председатель комиссии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Представитель HR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Представитель экономического отдела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Представитель IT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Представитель бухгалтерии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3. Проверенные функции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Функция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Результат проверки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Создание планового графика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Согласование графика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Формирование фактического табеля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Автоматический учет отпусков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Учет больничных и документов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Расчет KPI после утверждения табеля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Передача данных в 1С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Соответствует / не соответствует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4. Условия эксплуатации</w:t>
      </w:r>
    </w:p>
    <w:p>
      <w:r>
        <w:rPr>
          <w:sz w:val="24"/>
          <w:szCs w:val="24"/>
        </w:rPr>
        <w:t xml:space="preserve">Перед вводом должны быть заполнены справочники подразделений, должностей, сотрудников, режимов работы, производственного календаря, прав доступа и правил расчета KPI.</w:t>
      </w:r>
    </w:p>
    <w:p>
      <w:pPr>
        <w:pStyle w:val="Heading1"/>
      </w:pPr>
      <w:r>
        <w:rPr>
          <w:b/>
          <w:sz w:val="24"/>
          <w:szCs w:val="24"/>
        </w:rPr>
        <w:t xml:space="preserve">5. Ответственные лица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Зона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Ответственный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Бизнес-процесс табеля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HR / отдел кадров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Правила KPI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Экономический отдел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Интеграция с 1С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IT-служба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Администрирование прав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Супер-администратор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6. Заключение комиссии</w:t>
      </w:r>
    </w:p>
    <w:p>
      <w:r>
        <w:rPr>
          <w:sz w:val="24"/>
          <w:szCs w:val="24"/>
        </w:rPr>
        <w:t xml:space="preserve">Комиссия подтверждает, что модуль расчета KPI по табелю готов к эксплуатации при условии выполнения отмеченных замечаний и контроля первых расчетных периодов.</w:t>
      </w:r>
    </w:p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Член комиссии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ввода в эксплуатацию - модуль расчета KPI по табелю</dc:title>
  <dc:creator>AO NNMC</dc:creator>
  <cp:lastModifiedBy>Codex</cp:lastModifiedBy>
  <dcterms:created xsi:type="dcterms:W3CDTF">2026-07-09T05:47:56.640960+00:00</dcterms:created>
  <dcterms:modified xsi:type="dcterms:W3CDTF">2026-07-09T05:47:56.640960+00:00</dcterms:modified>
</cp:coreProperties>
</file>