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focuses primarily on agreement with human raters, overlooking robustness as a complementary quality dimension. Robustness, defined as the consistency of grading behaviour under controlled, meaning-aware input transformations, bears directly on construct validity, the degree to which an assessment measures what it claims to measure, and conditions the trustworthiness of automated decisions in education.</w:t>
      </w:r>
    </w:p>
    <w:p>
      <w:pPr>
        <w:pStyle w:val="BodyText"/>
      </w:pPr>
      <w:r>
        <w:t xml:space="preserve">We propose a perturbation-first evaluation framework that assesses robustness across three validity-theoretic dimensions: invariance to construct-irrelevant variation, sensitivity to meaning-altering changes, and resistance to adversarial gaming. The framework combines rule-based perturbation generators, two-gate quality validation, and self-referential metrics that compare the grader against its own output rather than against gold labels, isolating robustness from accuracy. A dual-protocol design contrasts within-question evaluation, the optimistic scenario typically reported in the literature, with cross-question evaluation, the realistic deployment scenario, capturing how trained graders degrade under distribution shift.</w:t>
      </w:r>
    </w:p>
    <w:p>
      <w:pPr>
        <w:pStyle w:val="BodyText"/>
      </w:pPr>
      <w:r>
        <w:t xml:space="preserve">We apply the framework to a benchmark ASAG dataset of science short answers and compare a trained machine-learning baseline with zero-shot Large Language Model graders evaluated at two prompting levels, with and without access to a reference answer. Three findings emerge. First, trained graders exhibit substantial robustness degradation under realistic cross-question evaluation, suggesting that standard within-question benchmarks overestimate operational reliability. Second, zero-shot LLM graders exhibit stronger robustness on invariance and sensitivity dimensions while remaining comparatively less vulnerable to adversarial manipulation, although residual sensitivity failures display a stable hierarchy across perturbation types. Finally, providing reference answers introduces a subtle trade-off, with improved consistency on meaning-preserving variations but increased susceptibility to keyword-based gaming, which is invisible to single-metric evaluation.</w:t>
      </w:r>
    </w:p>
    <w:p>
      <w:pPr>
        <w:pStyle w:val="BodyText"/>
      </w:pPr>
      <w:r>
        <w:t xml:space="preserve">We argue that multi-dimensional robustness evaluation should complement accuracy metrics in ASAG systems intended for consequential use, and release an open-source framework to support this approach.</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which relies on accuracy or Quadratic Weighted Kappa against gold labels,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also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compare the grader against itself rather than against gold labels, isolating robustness from accuracy, and a dual-protocol design (Leave-One-Question-Out vs. within-question 80/20 split) quantifies how much consistency a trained grader loses beyond its training distribution.</w:t>
      </w:r>
    </w:p>
    <w:p>
      <w:pPr>
        <w:pStyle w:val="BodyText"/>
      </w:pPr>
      <w:r>
        <w:t xml:space="preserve">We apply this framework to the SemEval 2013 Beetle dataset (5,199 answers, 42 questions), evaluating a hybrid ML baseline and a Large Language Model (LLM) grader (GPT-5.4 mini) at two prompting levels. The contributions of this work are threefold: a perturbation-first evaluation framework grounded in validity theory; a dual-protocol design that exposes the extent to which within-question evaluations overestimate operational reliability; and a cross-paradigm comparison that documents a structured sensitivity-blindness gradient and an unexpected gaming trade-off introduced by reference-answer prompting.</w:t>
      </w:r>
    </w:p>
    <w:p>
      <w:pPr>
        <w:pStyle w:val="CaptionedFigure"/>
      </w:pPr>
      <w:r>
        <w:drawing>
          <wp:inline>
            <wp:extent cx="5727700" cy="3632200"/>
            <wp:effectExtent b="0" l="0" r="0" t="0"/>
            <wp:docPr descr="Figure 1: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the L1 paradox.</w:t>
      </w:r>
    </w:p>
    <w:p>
      <w:r>
        <w:pict>
          <v:rect style="width:0;height:1.5pt" o:hralign="center" o:hrstd="t" o:hr="t"/>
        </w:pict>
      </w:r>
    </w:p>
    <w:bookmarkEnd w:id="32"/>
    <w:bookmarkStart w:id="33" w:name="theoretical-background"/>
    <w:p>
      <w:pPr>
        <w:pStyle w:val="Heading2"/>
      </w:pPr>
      <w:r>
        <w:t xml:space="preserve">2 Theoretical Background</w:t>
      </w:r>
    </w:p>
    <w:p>
      <w:pPr>
        <w:pStyle w:val="FirstParagraph"/>
      </w:pPr>
      <w:r>
        <w:t xml:space="preserve">The ASAG literature spans nearly two decades of methodological progress, from lexical and dependency-based approaches (Mohler et al., 2011; Burrows et al., 2015) to transformer-based models (Sung et al., 2019; Condor et al., 2021). Across this trajectory, evaluation has predominantly reported agreement with human raters via accuracy, Quadratic Weighted Kappa, or correlation, while the gap between in-distribution agreement scores and operational reliability has long been a concern of the educational measurement community (Heilman and Madnani, 2015; Williamson et al., 2012; Deane, 2013).</w:t>
      </w:r>
    </w:p>
    <w:p>
      <w:pPr>
        <w:pStyle w:val="BodyText"/>
      </w:pPr>
      <w:r>
        <w:t xml:space="preserve">The limits of agreement-based evaluation are best understood through construct validity, that is,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w:t>
      </w:r>
      <w:r>
        <w:t xml:space="preserve"> </w:t>
      </w:r>
      <w:r>
        <w:rPr>
          <w:i/>
          <w:iCs/>
        </w:rPr>
        <w:t xml:space="preserve">adversarial gaming</w:t>
      </w:r>
      <w:r>
        <w:t xml:space="preserve">, in which surface manipulations such as keyword stuffing artificially inflate scores (Williamson et al., 2012; Ferrara and Qunbar, 2022).</w:t>
      </w:r>
    </w:p>
    <w:p>
      <w:pPr>
        <w:pStyle w:val="BodyText"/>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and Filighera et al. (2024) extended this work to ASAG via adversarial adjectives and adverbs. Each focuses on a single attack family, and none proposes a unified, multi-dimensional framework anchored to validity theory.</w:t>
      </w:r>
    </w:p>
    <w:p>
      <w:pPr>
        <w:pStyle w:val="BodyText"/>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3"/>
    <w:bookmarkStart w:id="37" w:name="methodology"/>
    <w:p>
      <w:pPr>
        <w:pStyle w:val="Heading2"/>
      </w:pPr>
      <w:r>
        <w:t xml:space="preserve">3 Methodology</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Start w:id="34" w:name="X25ea66c058de233a597b329f6ebfb251c0672dc"/>
    <w:p>
      <w:pPr>
        <w:pStyle w:val="Heading3"/>
      </w:pPr>
      <w:r>
        <w:t xml:space="preserve">3.1 Perturbation Generation and Quality Validation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with WordNet synonyms, producing up to two variants per answer (selected deterministically for reproducibility); typo insertion introduces a single character-level modification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plausible-sounding misconceptions.</w:t>
      </w:r>
    </w:p>
    <w:p>
      <w:pPr>
        <w:pStyle w:val="BodyText"/>
      </w:pPr>
      <w:r>
        <w:rPr>
          <w:b/>
          <w:bCs/>
        </w:rPr>
        <w:t xml:space="preserve">Box 1. Examples</w:t>
      </w:r>
      <w:r>
        <w:t xml:space="preserve"> </w:t>
      </w:r>
      <w:r>
        <w:t xml:space="preserve">(perturbation in</w:t>
      </w:r>
      <w:r>
        <w:t xml:space="preserve"> </w:t>
      </w:r>
      <w:r>
        <w:rPr>
          <w:b/>
          <w:bCs/>
        </w:rPr>
        <w:t xml:space="preserve">bold</w:t>
      </w:r>
      <w:r>
        <w:t xml:space="preserve">):</w:t>
      </w:r>
    </w:p>
    <w:p>
      <w:pPr>
        <w:pStyle w:val="Compact"/>
        <w:numPr>
          <w:ilvl w:val="0"/>
          <w:numId w:val="1001"/>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1"/>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1"/>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1"/>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1"/>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and the rejection rate is reported as a research result. The gates encode the</w:t>
      </w:r>
      <w:r>
        <w:t xml:space="preserve"> </w:t>
      </w:r>
      <w:r>
        <w:rPr>
          <w:i/>
          <w:iCs/>
        </w:rPr>
        <w:t xml:space="preserve">perturbation-level</w:t>
      </w:r>
      <w:r>
        <w:t xml:space="preserve"> </w:t>
      </w:r>
      <w:r>
        <w:t xml:space="preserve">ground truth (whether a candidate variant preserves meaning as intended), as distinguished from the</w:t>
      </w:r>
      <w:r>
        <w:t xml:space="preserve"> </w:t>
      </w:r>
      <w:r>
        <w:rPr>
          <w:i/>
          <w:iCs/>
        </w:rPr>
        <w:t xml:space="preserve">answer-level</w:t>
      </w:r>
      <w:r>
        <w:t xml:space="preserve"> </w:t>
      </w:r>
      <w:r>
        <w:t xml:space="preserve">gold labels supplied by the dataset (Section 4), which encode whether the original student answer is correct.</w:t>
      </w:r>
    </w:p>
    <w:bookmarkEnd w:id="34"/>
    <w:bookmarkStart w:id="35" w:name="robustness-metrics"/>
    <w:p>
      <w:pPr>
        <w:pStyle w:val="Heading3"/>
      </w:pPr>
      <w:r>
        <w:t xml:space="preserve">3.2 Robustness Metrics</w:t>
      </w:r>
    </w:p>
    <w:p>
      <w:pPr>
        <w:pStyle w:val="FirstParagraph"/>
      </w:pPr>
      <w:r>
        <w:t xml:space="preserve">All metrics compare the grader’s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score changed at all; lower is better.</w:t>
      </w:r>
    </w:p>
    <w:p>
      <w:pPr>
        <w:pStyle w:val="BodyText"/>
      </w:pPr>
      <w:r>
        <w:rPr>
          <w:b/>
          <w:bCs/>
        </w:rPr>
        <w:t xml:space="preserve">IVR_absdelta</w:t>
      </w:r>
      <w:r>
        <w:t xml:space="preserve"> </w:t>
      </w:r>
      <w:r>
        <w:t xml:space="preserve">(Invariance Violation Rate, continuous): the mean absolute score difference across invariance pairs, capturing violation magnitude.</w:t>
      </w:r>
    </w:p>
    <w:p>
      <w:pPr>
        <w:pStyle w:val="BodyText"/>
      </w:pPr>
      <w:r>
        <w:rPr>
          <w:b/>
          <w:bCs/>
        </w:rPr>
        <w:t xml:space="preserve">SSR_directional</w:t>
      </w:r>
      <w:r>
        <w:t xml:space="preserve"> </w:t>
      </w:r>
      <w:r>
        <w:t xml:space="preserve">(Sensitivity Success Rate): the proportion of sensitivity pairs where the perturbed score strictly decreased; higher is better, and no-change counts as a failure to detect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Already-passing answers that increase further are excluded.</w:t>
      </w:r>
    </w:p>
    <w:p>
      <w:pPr>
        <w:pStyle w:val="BodyText"/>
      </w:pPr>
      <w:r>
        <w:t xml:space="preserve">The four metrics are reported on their canonical scales rather than aggregated into a composite index, which preserves continuity with the validity-theoretic constructs each metric targets and avoids the arbitrariness of weighting heterogeneous dimensions whose practical importance varies by deployment context. Joint reading across the three dimensions, illustrated in Section 5.1, surfaces the trade-offs that single-metric evaluation hides.</w:t>
      </w:r>
    </w:p>
    <w:bookmarkEnd w:id="35"/>
    <w:bookmarkStart w:id="36" w:name="dual-protocol-evaluation"/>
    <w:p>
      <w:pPr>
        <w:pStyle w:val="Heading3"/>
      </w:pPr>
      <w:r>
        <w:t xml:space="preserve">3.3 Dual-Protocol Evaluation</w:t>
      </w:r>
    </w:p>
    <w:p>
      <w:pPr>
        <w:pStyle w:val="FirstParagraph"/>
      </w:pPr>
      <w:r>
        <w:t xml:space="preserve">The dual-protocol design targets trained graders and quantifies how much robustness they lose on unseen questions. Protocol A (Leave-One-Question-Out) implements cross-question evaluation: for each of 42 questions the grader is trained on answers from all other questions and tested on the held-out one, with a leakage diagnostic verifying that no held-out question text appears in training. This is the realistic deployment scenario. Protocol B (within-question 80/20) 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t xml:space="preserve">The</w:t>
      </w:r>
      <w:r>
        <w:t xml:space="preserve"> </w:t>
      </w:r>
      <w:r>
        <w:rPr>
          <w:b/>
          <w:bCs/>
        </w:rPr>
        <w:t xml:space="preserve">robustness drop</w:t>
      </w:r>
      <w:r>
        <w:t xml:space="preserve"> </w:t>
      </w:r>
      <w:r>
        <w:t xml:space="preserve">is the difference between A and B aggregate metrics, macro-averaged across questions. Zero-shot LLM graders receive an identical prompt regardless of split, so their A and B results are equivalent up to sampling noise, and we evaluate them on absolute metrics and compare against the trained baseline’s Protocol A, the most demanding condition.</w:t>
      </w:r>
    </w:p>
    <w:p>
      <w:r>
        <w:pict>
          <v:rect style="width:0;height:1.5pt" o:hralign="center" o:hrstd="t" o:hr="t"/>
        </w:pict>
      </w:r>
    </w:p>
    <w:bookmarkEnd w:id="36"/>
    <w:bookmarkEnd w:id="37"/>
    <w:bookmarkStart w:id="40" w:name="experimental-setup"/>
    <w:p>
      <w:pPr>
        <w:pStyle w:val="Heading2"/>
      </w:pPr>
      <w:r>
        <w:t xml:space="preserve">4 Experimental Setup</w:t>
      </w:r>
    </w:p>
    <w:p>
      <w:pPr>
        <w:pStyle w:val="FirstParagraph"/>
      </w:pPr>
      <w:r>
        <w:t xml:space="preserve">We use the SemEval 2013 Task 7 Beetle dataset (Dzikovska et al., 2013), comprising 5,199 student answers to 42 science questions about electrical circuits. Answers are labelled on a five-way scale (correct, partially_correct_incomplete, contradictory, non_domain, irrelevant) and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interpret robustness results; the</w:t>
      </w:r>
      <w:r>
        <w:t xml:space="preserve"> </w:t>
      </w:r>
      <w:r>
        <w:rPr>
          <w:i/>
          <w:iCs/>
        </w:rPr>
        <w:t xml:space="preserve">perturbation-level</w:t>
      </w:r>
      <w:r>
        <w:t xml:space="preserve"> </w:t>
      </w:r>
      <w:r>
        <w:t xml:space="preserve">ground truth is enforced by the two-gate validation of Section 3.1 and by the rule-based construction of each perturbation type. The robustness metrics themselves do not consult either ground truth, since they compare the grader against itself.</w:t>
      </w:r>
    </w:p>
    <w:bookmarkStart w:id="38" w:name="graders"/>
    <w:p>
      <w:pPr>
        <w:pStyle w:val="Heading3"/>
      </w:pPr>
      <w:r>
        <w:t xml:space="preserve">4.1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(all-MiniLM-L6-v2; Reimers and Gurevych, 2019). Class weights are balanced to handle label imbalance. This configuration is broadly representative of strong feature-based ASAG baselines (Sung et al., 2019; Condor et al., 2021).</w:t>
      </w:r>
    </w:p>
    <w:p>
      <w:pPr>
        <w:pStyle w:val="BodyText"/>
      </w:pPr>
      <w:r>
        <w:rPr>
          <w:b/>
          <w:bCs/>
        </w:rPr>
        <w:t xml:space="preserve">LLM grader.</w:t>
      </w:r>
      <w:r>
        <w:t xml:space="preserve"> </w:t>
      </w:r>
      <w:r>
        <w:t xml:space="preserve">Zero-shot prompting of GPT-5.4 mini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and the model outputs a JSON object with a label and a confidence score mapped to the same [0, 1] scale as the gold labels. Because the model operates in a zero-shot regime, the dual-protocol distinction does not alter its input, and it is evaluated once against the HybridGrader’s Protocol A.</w:t>
      </w:r>
    </w:p>
    <w:bookmarkEnd w:id="38"/>
    <w:bookmarkStart w:id="39" w:name="perturbation-statistics"/>
    <w:p>
      <w:pPr>
        <w:pStyle w:val="Heading3"/>
      </w:pPr>
      <w:r>
        <w:t xml:space="preserve">4.2 Perturbation Statistics</w:t>
      </w:r>
    </w:p>
    <w:p>
      <w:pPr>
        <w:pStyle w:val="FirstParagraph"/>
      </w:pPr>
      <w:r>
        <w:t xml:space="preserve">The perturbation engine generated 41,444 perturbations across all seven types from 5,199 source answers, averaging 8.0 perturbations per answer (theoretical maximum 10). Gate 1 rejected 40.3% of synonym substitution candidates, indicating that nearly half of WordNet synonym replacements produce semantically divergent texts in the science domain; Gate 2 provided additional filtering for meaning-inverting substitutions. The rejection rate is reported as a research result, since it quantifies the inherent difficulty of producing valid invariance perturbations in technical domains and motivates the two-gate design.</w:t>
      </w:r>
    </w:p>
    <w:p>
      <w:r>
        <w:pict>
          <v:rect style="width:0;height:1.5pt" o:hralign="center" o:hrstd="t" o:hr="t"/>
        </w:pict>
      </w:r>
    </w:p>
    <w:bookmarkEnd w:id="39"/>
    <w:bookmarkEnd w:id="40"/>
    <w:bookmarkStart w:id="44" w:name="results"/>
    <w:p>
      <w:pPr>
        <w:pStyle w:val="Heading2"/>
      </w:pPr>
      <w:r>
        <w:t xml:space="preserve">5 Results</w:t>
      </w:r>
    </w:p>
    <w:p>
      <w:pPr>
        <w:pStyle w:val="FirstParagraph"/>
      </w:pPr>
      <w:r>
        <w:t xml:space="preserve">Results are organised in four blocks: a dual-protocol analysis of the trained HybridGrader; a cross-paradigm comparison with the zero-shot LLM, including reference-answer availability (Section 5.1); score-distribution artefacts and the floor effect (Section 5.2); and the structured sensitivity-blindness gradient (Section 5.3). We begin with the dual-protocol analysis.</w:t>
      </w:r>
    </w:p>
    <w:p>
      <w:pPr>
        <w:pStyle w:val="BodyText"/>
      </w:pPr>
      <w:r>
        <w:t xml:space="preserve">Table 1 reports the HybridGrader’s aggregate robustness metrics under both evaluation protocols.</w:t>
      </w:r>
    </w:p>
    <w:p>
      <w:pPr>
        <w:pStyle w:val="BodyText"/>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with adversarial inputs 64% more effective on novel questions. Sensitivity detection remains low under both protocols (SSR ≈ 0.13), indicating that the HybridGrader’s failure to detect meaning-altering perturbations is a structural limitation of feature-based scoring rather than a distribution-shift effect. The +15.8 pp IVR_flip and +7.4 pp ASR drops quantify the extent to which within-question evaluations overestimate operational robustness.</w:t>
      </w:r>
    </w:p>
    <w:bookmarkStart w:id="41" w:name="X959fd0361b4a45b778be5eae12aea246e63bb00"/>
    <w:p>
      <w:pPr>
        <w:pStyle w:val="Heading3"/>
      </w:pPr>
      <w:r>
        <w:t xml:space="preserve">5.1 Cross-Paradigm Comparison: Trained ML vs. Zero-Shot LLM</w:t>
      </w:r>
    </w:p>
    <w:p>
      <w:pPr>
        <w:pStyle w:val="FirstParagraph"/>
      </w:pPr>
      <w:r>
        <w:t xml:space="preserve">Table 2 reports the zero-shot LLM’s absolute robustness metrics, compared against the HybridGrader’s Protocol A results.</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t xml:space="preserve">Four observations can be drawn from the comparison.</w:t>
      </w:r>
      <w:r>
        <w:t xml:space="preserve"> </w:t>
      </w:r>
      <w:r>
        <w:rPr>
          <w:i/>
          <w:iCs/>
        </w:rPr>
        <w:t xml:space="preserve">First, the LLM is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a 60% reduction over the baseline. The reference appears to act as a semantic anchor against which meaning-preserving variations are recognised.</w:t>
      </w:r>
    </w:p>
    <w:p>
      <w:pPr>
        <w:pStyle w:val="BodyText"/>
      </w:pPr>
      <w:r>
        <w:rPr>
          <w:i/>
          <w:iCs/>
        </w:rPr>
        <w:t xml:space="preserve">Second, the LLM detects meaning-altering perturbations more effectively.</w:t>
      </w:r>
      <w:r>
        <w:t xml:space="preserve"> </w:t>
      </w:r>
      <w:r>
        <w:t xml:space="preserve">SSR_directional rises from 0.140 for the HybridGrader to 0.420 at Level 0 and 0.461 at Level 1, an approximately threefold improvement. The HybridGrader misses 86% of negations, deletions and contradictions, whereas the LLM at Level 1 misses 54%. Adding the reference answer yields only a modest additional gain (+4 pp), indicating that the sensitivity advantage arises predominantly from semantic processing rather than from the comparison target.</w:t>
      </w:r>
    </w:p>
    <w:p>
      <w:pPr>
        <w:pStyle w:val="BodyText"/>
      </w:pPr>
      <w:r>
        <w:rPr>
          <w:i/>
          <w:iCs/>
        </w:rPr>
        <w:t xml:space="preserve">Third, reference-answer availability introduces an unexpected gaming trade-off.</w:t>
      </w:r>
      <w:r>
        <w:t xml:space="preserve"> </w:t>
      </w:r>
      <w:r>
        <w:t xml:space="preserve">Providing the reference answer (Level 1) increases gaming susceptibility by 76% relative to Level 0 (ASR 0.118 vs 0.067). The prompt instructs the model to compare the student answer against the reference, so any token overlap becomes evidence of correctness, and when a gaming perturbation injects reference keywords into a wrong response the model registers them as partial understanding. The reference functions as a checklist from which an adversarial student can copy, whereas Level 0, lacking this anchor, must judge the answer on its overall coherence and is correspondingly harder to game.</w:t>
      </w:r>
    </w:p>
    <w:p>
      <w:pPr>
        <w:pStyle w:val="BodyText"/>
      </w:pPr>
      <w:r>
        <w:rPr>
          <w:i/>
          <w:iCs/>
        </w:rPr>
        <w:t xml:space="preserve">Fourth, multi-metric evaluation reveals trade-offs invisible to any single metric.</w:t>
      </w:r>
      <w:r>
        <w:t xml:space="preserve"> </w:t>
      </w:r>
      <w:r>
        <w:t xml:space="preserve">On invariance alone, Level 1 dominates Level 0; on gaming alone, Level 0 dominates Level 1; on sensitivity alone, the two are comparable. The same point applies to the trained baseline: under Protocol B its IVR_flip of 0.179 looks reasonable, yet SSR_directional of 0.120 reveals that this stability partly reflects indiscrimination, with the grader rarely changing its score even when it should.</w:t>
      </w:r>
    </w:p>
    <w:bookmarkEnd w:id="41"/>
    <w:bookmarkStart w:id="42" w:name="score-distribution-effects"/>
    <w:p>
      <w:pPr>
        <w:pStyle w:val="Heading3"/>
      </w:pPr>
      <w:r>
        <w:t xml:space="preserve">5.2 Score Distribution Effects</w:t>
      </w:r>
    </w:p>
    <w:p>
      <w:pPr>
        <w:pStyle w:val="FirstParagraph"/>
      </w:pPr>
      <w:r>
        <w:t xml:space="preserve">To rule out the possibility that the lower IVR is an artefact of score compression, we examined the LLM’s label distribution. At Level 0, GPT-5.4 mini exhibits a conservative scoring pattern: 54.3% of answers receive the partially_correct_incomplete label (score 0.5), against 23.1% in the gold distribution. Compression toward the midpoint mechanically reduces IVR, since scores at 0.5 have less room to flip. At Level 1, the distribution becomes substantially more discriminative, closer to the gold distribution, yet IVR_flip continues to fall (0.243 → 0.134). This rules out the score-compression explanation, and the invariance robustness observed reflects genuine semantic stability rather than a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42"/>
    <w:bookmarkStart w:id="43" w:name="sensitivity-blindness-gradient"/>
    <w:p>
      <w:pPr>
        <w:pStyle w:val="Heading3"/>
      </w:pPr>
      <w:r>
        <w:t xml:space="preserve">5.3 Sensitivity Blindness Gradient</w:t>
      </w:r>
    </w:p>
    <w:p>
      <w:pPr>
        <w:pStyle w:val="FirstParagraph"/>
      </w:pPr>
      <w:r>
        <w:t xml:space="preserve">Disaggregating SSR by perturbation type reveals that the LLM’s sensitivity failures follow a stable hierarchy (Figure 1b, Table 4): the grader is blindest to deletions, intermediate on negations, and least blind on outright contradictions, and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that the gradient is significant (all six within-grader comparisons p &lt; 0.001). A further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a paradox confirmed by paired McNemar on the same answer set (χ² = 51, p &lt; 0.0001). Floor adjustment (Section 5.2) lowers all three rates uniformly without changing the ordering, and even at the bottom (~40% on contradiction in L1) the failure rate constitutes a substantive deployment risk.</w:t>
      </w:r>
    </w:p>
    <w:p>
      <w:pPr>
        <w:pStyle w:val="BodyText"/>
      </w:pPr>
      <w:r>
        <w:t xml:space="preserve">A manual review of 30 random missed deletions characterises the mechanism. Of 17 cases involving deletion of a domain concept (terminal, battery, circuit, voltage, open/closed), 16 materially degraded or inverted answer meaning, while connective deletions (</w:t>
      </w:r>
      <w:r>
        <w:t xml:space="preserve">“because”</w:t>
      </w:r>
      <w:r>
        <w:t xml:space="preserve">,</w:t>
      </w:r>
      <w:r>
        <w:t xml:space="preserve"> </w:t>
      </w:r>
      <w:r>
        <w:t xml:space="preserve">“between”</w:t>
      </w:r>
      <w:r>
        <w:t xml:space="preserve">) were correctly tolerated as benign. The grader systematically fails on content-bearing words. A representative inverted case is</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and the Level 1 grader treats the two versions as equivalent.</w:t>
      </w:r>
    </w:p>
    <w:p>
      <w:r>
        <w:pict>
          <v:rect style="width:0;height:1.5pt" o:hralign="center" o:hrstd="t" o:hr="t"/>
        </w:pict>
      </w:r>
    </w:p>
    <w:bookmarkEnd w:id="43"/>
    <w:bookmarkEnd w:id="44"/>
    <w:bookmarkStart w:id="45" w:name="discussion-implications-and-limitations"/>
    <w:p>
      <w:pPr>
        <w:pStyle w:val="Heading2"/>
      </w:pPr>
      <w:r>
        <w:t xml:space="preserve">6 Discussion, Implications, and Limitations</w:t>
      </w:r>
    </w:p>
    <w:p>
      <w:pPr>
        <w:pStyle w:val="FirstParagraph"/>
      </w:pPr>
      <w:r>
        <w:t xml:space="preserve">In this section we discuss the results of the study, distill implications for practitioners and researchers, and outline opportunities for further investigation.</w:t>
      </w:r>
    </w:p>
    <w:p>
      <w:pPr>
        <w:pStyle w:val="BodyText"/>
      </w:pPr>
      <w:r>
        <w:t xml:space="preserve">The most consequential methodological finding is that within-question evaluations systematically overestimate the robustness of trained ASAG graders. The HybridGrader’s invariance violation rate nearly doubles between the in-distribution and cross-question protocols, and its gaming susceptibility rises by roughly two-thirds, effects large enough to materially affect deployment. Published ASAG evaluations should therefore include cross-question results alongside in-distribution ones, and report the gap explicitly as a robustness drop.</w:t>
      </w:r>
    </w:p>
    <w:p>
      <w:pPr>
        <w:pStyle w:val="BodyText"/>
      </w:pPr>
      <w:r>
        <w:t xml:space="preserve">The advantage that the zero-shot LLM exhibits on invariance and sensitivity arises from a form of semantic processing that feature-based scoring lacks. The HybridGrader relies on lexical overlap that shifts with surface form, whereas the LLM processes the answer as language: a negation, deletion or antonym leaves surface features intact while shifting meaning, defeating feature-based scoring yet remaining at least partially visible to a semantic processor. The residual weaknesses in Section 5.3 refine rather than undermine this conclusion, showing that semantic processing handles meaning-preserving variation more reliably than meaning-altering omission.</w:t>
      </w:r>
    </w:p>
    <w:p>
      <w:pPr>
        <w:pStyle w:val="BodyText"/>
      </w:pPr>
      <w:r>
        <w:t xml:space="preserve">Adding the reference answer is an intervention practitioners commonly expect to improve grading uniformly. It does so for invariance and sensitivity, but for gaming it nearly doubles vulnerability. The mechanism generalises beyond the particular prompt employed here: when the model is instructed to compare the student answer against a reference, any token overlap becomes evidence of correctness, which an adversarial student can exploit. The same checklist mechanism plausibly explains the deletion paradox of Section 5.3: when a domain concept is removed, the reference has no token to compare against while surrounding tokens still match, so the grader reads continued overlap as continued correctness and tolerates the omission. Reference-anchored prompting therefore fails on the same axis on which it succeeds, since token-level matching detects substitutions and negations but cannot detect what is no longer present. Prompt engineering and coherence-first instructions are plausible mitigations, yet such trade-offs remain invisible to single-metric evaluation.</w:t>
      </w:r>
    </w:p>
    <w:p>
      <w:pPr>
        <w:pStyle w:val="BodyText"/>
      </w:pPr>
      <w:r>
        <w:t xml:space="preserve">As an outcome of the study, several implications can be drawn for practitioners and researchers. Practitioners should conduct perturbation evaluation across the three validity dimensions before placing a grader in consequential use, and should compare alternative prompting strategies on all dimensions rather than on accuracy alone, since gains in agreement with human raters can mask increased gaming exposure. Cross-question performance should be treated as the realistic baseline against which deployment decisions are made. From a research standpoint, the present findings position robustness alongside fairness as a precondition for responsible automated scoring (Loukina et al., 2019), and motivate further investigation of prompt designs capable of mitigating the trade-offs documented here.</w:t>
      </w:r>
    </w:p>
    <w:p>
      <w:pPr>
        <w:pStyle w:val="BodyText"/>
      </w:pPr>
      <w:r>
        <w:t xml:space="preserve">We acknowledge several limitations that could be object of further research. First, the empirical evidence is restricted to a single dataset (Beetle) covering one science domain, and replication on additional ASAG corpora is necessary to establish the generality of the patterns reported. Second, the corpus lacks structured per-question rubrics, so the contrast between Level 0 and Level 1 prompting serves as a proxy for how additional grading information shapes robustness. Third, the LLM evaluation relies on a single model (GPT-5.4 mini), and cross-vendor as well as frontier-model comparisons are deferred to follow-up work. Finally, perturbations are produced by rule-based generators, and complementary human validation through inter-annotator agreement is a natural extension for the journal version.</w:t>
      </w:r>
    </w:p>
    <w:p>
      <w:r>
        <w:pict>
          <v:rect style="width:0;height:1.5pt" o:hralign="center" o:hrstd="t" o:hr="t"/>
        </w:pict>
      </w:r>
    </w:p>
    <w:bookmarkEnd w:id="45"/>
    <w:bookmarkStart w:id="46"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The trained ML baseline exhibits a substantial robustness drop under cross-question evaluation (+15.8 pp IVR_flip; +7.4 pp ASR), confirming that within-question benchmarks overestimate operational reliability. The zero-shot LLM grader is markedly more robust on invariance and sensitivity, and less vulnerable to gaming. Adding the reference answer trades a 45% reduction in invariance violations for a 76% increase in gaming susceptibility, a subtle trade-off invisible to any single metric. We argue that robustness should be evaluated alongside accuracy as a first-class quality dimension for any ASAG system intended for high-stakes use, and that such evaluation should be multi-dimensional and grounded in validity theory.</w:t>
      </w:r>
    </w:p>
    <w:p>
      <w:r>
        <w:pict>
          <v:rect style="width:0;height:1.5pt" o:hralign="center" o:hrstd="t" o:hr="t"/>
        </w:pict>
      </w:r>
    </w:p>
    <w:bookmarkEnd w:id="46"/>
    <w:bookmarkStart w:id="47" w:name="ethics-declaration"/>
    <w:p>
      <w:pPr>
        <w:pStyle w:val="Heading2"/>
      </w:pPr>
      <w:r>
        <w:t xml:space="preserve">Ethics declaration</w:t>
      </w:r>
    </w:p>
    <w:p>
      <w:pPr>
        <w:pStyle w:val="FirstParagraph"/>
      </w:pPr>
      <w:r>
        <w:t xml:space="preserve">This study uses publicly available data from the SemEval 2013 Task 7 Beetle benchmark, which contains anonymised student responses released by the dataset authors for research purposes (Dzikovska et al., 2013). No primary data collection involving human participants was carried out for the present study, and no ethical clearance was required.</w:t>
      </w:r>
    </w:p>
    <w:bookmarkEnd w:id="47"/>
    <w:bookmarkStart w:id="48" w:name="ai-declaration"/>
    <w:p>
      <w:pPr>
        <w:pStyle w:val="Heading2"/>
      </w:pPr>
      <w:r>
        <w:t xml:space="preserve">AI declaration</w:t>
      </w:r>
    </w:p>
    <w:p>
      <w:pPr>
        <w:pStyle w:val="FirstParagraph"/>
      </w:pPr>
      <w:r>
        <w:t xml:space="preserve">Artificial intelligence tools were used in two ways. First, OpenAI’s GPT-5.4 mini was the object of evaluation as one of the graders studied; its prompting configuration, decoding parameters, and access conditions are documented in Section 4.1, and the resulting outputs are reported without modification. Second, general-purpose LLMs (Anthropic Claude and OpenAI GPT) were employed as writing assistants during manuscript preparation, specifically for grammar and style proof-reading, terminology consistency checks, and rephrasing suggestions on author-drafted text. All scientific content, research design, analyses, results, and interpretations are the authors’ own. AI-generated wording was reviewed, edited, and retained only where consistent with the authors’ intent and with the underlying empirical evidence.</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49"/>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2026-04-30T10:19:17Z</dcterms:created>
  <dcterms:modified xsi:type="dcterms:W3CDTF">2026-04-30T10:19:17Z</dcterms:modified>
</cp:coreProperties>
</file>

<file path=docProps/custom.xml><?xml version="1.0" encoding="utf-8"?>
<Properties xmlns="http://schemas.openxmlformats.org/officeDocument/2006/custom-properties" xmlns:vt="http://schemas.openxmlformats.org/officeDocument/2006/docPropsVTypes"/>
</file>