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fkad-2026-full-paper-draft"/>
    <w:p>
      <w:pPr>
        <w:pStyle w:val="Heading1"/>
      </w:pPr>
      <w:r>
        <w:t xml:space="preserve">IFKAD 2026 Full Paper — Draft</w:t>
      </w:r>
    </w:p>
    <w:p>
      <w:pPr>
        <w:pStyle w:val="BlockText"/>
      </w:pPr>
      <w:r>
        <w:rPr>
          <w:b/>
          <w:bCs/>
        </w:rPr>
        <w:t xml:space="preserve">Format target:</w:t>
      </w:r>
      <w:r>
        <w:t xml:space="preserve"> </w:t>
      </w:r>
      <w:r>
        <w:t xml:space="preserve">Calibri 10pt, A4, 2.54cm margins, fully justified.</w:t>
      </w:r>
      <w:r>
        <w:t xml:space="preserve"> </w:t>
      </w:r>
      <w:r>
        <w:rPr>
          <w:b/>
          <w:bCs/>
        </w:rPr>
        <w:t xml:space="preserve">Length:</w:t>
      </w:r>
      <w:r>
        <w:t xml:space="preserve"> </w:t>
      </w:r>
      <w:r>
        <w:t xml:space="preserve">3,000–5,000 words including abstract, figures, references. Max 10 pages, 4MB.</w:t>
      </w:r>
      <w:r>
        <w:t xml:space="preserve"> </w:t>
      </w:r>
      <w:r>
        <w:rPr>
          <w:b/>
          <w:bCs/>
        </w:rPr>
        <w:t xml:space="preserve">References:</w:t>
      </w:r>
      <w:r>
        <w:t xml:space="preserve"> </w:t>
      </w:r>
      <w:r>
        <w:t xml:space="preserve">Harvard style. No footnotes, no endnotes.</w:t>
      </w:r>
    </w:p>
    <w:p>
      <w:r>
        <w:pict>
          <v:rect style="width:0;height:1.5pt" o:hralign="center" o:hrstd="t" o:hr="t"/>
        </w:pict>
      </w:r>
    </w:p>
    <w:bookmarkStart w:id="24" w:name="title"/>
    <w:p>
      <w:pPr>
        <w:pStyle w:val="Heading2"/>
      </w:pPr>
      <w:r>
        <w:t xml:space="preserve">TITLE</w:t>
      </w:r>
    </w:p>
    <w:p>
      <w:pPr>
        <w:pStyle w:val="FirstParagraph"/>
      </w:pPr>
      <w:r>
        <w:t xml:space="preserve">Perturbation-First Robustness Evaluation of Automated Short Answer Grading: Quantifying the Hidden Fragility of Trained and Zero-Shot Graders</w:t>
      </w:r>
    </w:p>
    <w:bookmarkEnd w:id="24"/>
    <w:bookmarkStart w:id="25" w:name="authors"/>
    <w:p>
      <w:pPr>
        <w:pStyle w:val="Heading2"/>
      </w:pPr>
      <w:r>
        <w:t xml:space="preserve">AUTHORS</w:t>
      </w:r>
    </w:p>
    <w:p>
      <w:pPr>
        <w:pStyle w:val="FirstParagraph"/>
      </w:pPr>
      <w:r>
        <w:t xml:space="preserve">Ferdinando Sasso, Andrea De Mauro</w:t>
      </w:r>
      <w:r>
        <w:t xml:space="preserve"> </w:t>
      </w:r>
      <w:r>
        <w:t xml:space="preserve">LUISS Guido Carli University, Rome, Italy</w:t>
      </w:r>
      <w:r>
        <w:t xml:space="preserve"> </w:t>
      </w:r>
      <w:r>
        <w:t xml:space="preserve">fsasso@studenti.luiss.it</w:t>
      </w:r>
      <w:r>
        <w:t xml:space="preserve"> </w:t>
      </w:r>
      <w:r>
        <w:t xml:space="preserve">ademauro@luiss.it</w:t>
      </w:r>
    </w:p>
    <w:bookmarkEnd w:id="25"/>
    <w:bookmarkStart w:id="26" w:name="abstract"/>
    <w:p>
      <w:pPr>
        <w:pStyle w:val="Heading2"/>
      </w:pPr>
      <w:r>
        <w:t xml:space="preserve">ABSTRACT</w:t>
      </w:r>
    </w:p>
    <w:p>
      <w:pPr>
        <w:pStyle w:val="FirstParagraph"/>
      </w:pPr>
      <w:r>
        <w:t>Automated Short Answer Grading (ASAG) is increasingly deployed in high-stakes educational contexts, yet the dominant evaluation paradigm reports only agreement with human raters and overlooks an equally important quality dimension: robustness, the consistency of grading behaviour under controlled input transformations. We present a perturbation-first evaluation framework that quantifies robustness along three validity dimensions drawn from Messick’s (1989) taxonomy: invariance (construct-irrelevant variance), sensitivity (construct underrepresentation), and gaming (adversarial manipulation). The framework comprises seven rule-based perturbation generators, two-gate quality validation, and four metrics (IVR_flip, IVR_absdelta, SSR_directional, ASR_thresholded) that compare the grader against itself rather than against gold labels, isolating robustness from accuracy. A dual-protocol design (Leave-One-Question-Out vs. within-question split) quantifies how trained graders degrade under cross-question generalisation. We apply the framework to the SemEval 2013 Beetle corpus (5,199 answers, 42 questions, 41,444 perturbations) and compare a hybrid ML baseline against zero-shot LLM graders (GPT-5.4 mini, Levels 0 and 1). Three findings emerge. First, the trained baseline exhibits a substantial robustness drop under cross-question evaluation: invariance violations rise from 17.9% to 33.7% (+15.8 percentage points), and gaming susceptibility from 11.5% to 18.8%. Standard within-question evaluations therefore overestimate operational reliability. Second, the zero-shot LLM is markedly more robust on invariance and sensitivity dimensions (IVR 0.243 vs 0.337; SSR 0.420 vs 0.140, a threefold improvement) and substantially less vulnerable to gaming (ASR 0.067 vs 0.188); a fine-grained analysis reveals that the LLM’s residual sensitivity failures follow a stable hierarchy (concept deletions are missed most often, negations intermediately, and outright contradictions least), confirmed by paired McNemar tests (all p&lt;0.001). Third, providing the LLM with the reference answer (Level 1) reduces invariance violations by 45% but simultaneously increases gaming susceptibility by 76%, a trade-off invisible to single-metric evaluation. We argue that perturbation-first, multi-dimensional evaluation should complement accuracy metrics in any responsible ASAG deployment, and provide an open-source framework to make this practical.</w:t>
      </w:r>
    </w:p>
    <w:bookmarkEnd w:id="26"/>
    <w:bookmarkStart w:id="27" w:name="keywords"/>
    <w:p>
      <w:pPr>
        <w:pStyle w:val="Heading2"/>
      </w:pPr>
      <w:r>
        <w:t xml:space="preserve">KEYWORDS</w:t>
      </w:r>
    </w:p>
    <w:p>
      <w:pPr>
        <w:pStyle w:val="FirstParagraph"/>
      </w:pPr>
      <w:r>
        <w:t xml:space="preserve">Automated Short Answer Grading; Robustness Evaluation; Perturbation Testing; Large Language Models; Construct Validity</w:t>
      </w:r>
    </w:p>
    <w:bookmarkEnd w:id="27"/>
    <w:bookmarkStart w:id="28" w:name="paper-type"/>
    <w:p>
      <w:pPr>
        <w:pStyle w:val="Heading2"/>
      </w:pPr>
      <w:r>
        <w:t xml:space="preserve">PAPER TYPE</w:t>
      </w:r>
    </w:p>
    <w:p>
      <w:pPr>
        <w:pStyle w:val="FirstParagraph"/>
      </w:pPr>
      <w:r>
        <w:t xml:space="preserve">Academic Research Paper</w:t>
      </w:r>
    </w:p>
    <w:p>
      <w:r>
        <w:pict>
          <v:rect style="width:0;height:1.5pt" o:hralign="center" o:hrstd="t" o:hr="t"/>
        </w:pict>
      </w:r>
    </w:p>
    <w:bookmarkEnd w:id="28"/>
    <w:bookmarkStart w:id="32" w:name="introduction"/>
    <w:p>
      <w:pPr>
        <w:pStyle w:val="Heading2"/>
      </w:pPr>
      <w:r>
        <w:t xml:space="preserve">1 Introduction</w:t>
      </w:r>
    </w:p>
    <w:p>
      <w:pPr>
        <w:pStyle w:val="FirstParagraph"/>
      </w:pPr>
      <w:r>
        <w:t>Automated Short Answer Grading (ASAG) systems assign grades to free-text student responses by comparison with reference answers. The dominant evaluation paradigm (accuracy or Quadratic Weighted Kappa against gold labels) reveals an important blind spot: a grader may agree with human raters on clean test data yet behave erratically when inputs vary in superficial, meaning-preserving ways. Such inconsistency violates construct validity and undermines the pedagogical purpose of assessment (Messick, 1989; Williamson et al., 2012). Operational ASAG systems are vulnerable to simple adversarial inputs (Ding et al., 2020; Kumar et al., 2020; Filighera et al., 2024), yet such vulnerabilities remain largely absent from standard benchmarking.</w:t>
      </w:r>
    </w:p>
    <w:p>
      <w:pPr>
        <w:pStyle w:val="BodyText"/>
      </w:pPr>
      <w:r>
        <w:t xml:space="preserve">We argue that robustness should be evaluated alongside accuracy as a first-class quality dimension and propose a perturbation-first framework built on three families targeting distinct validity threats: invariance (construct-irrelevant variance), sensitivity (construct underrepresentation), and gaming (adversarial manipulation). Four metrics (IVR_flip, IVR_absdelta, SSR_directional, ASR_thresholded) compare the grader against itself rather than against gold labels, isolating robustness from accuracy. A dual-protocol design (Protocol A: Leave-One-Question-Out; Protocol B: within-question 80/20 split) quantifies how much consistency a trained grader loses beyond its training distribution; zero-shot graders are evaluated directly on absolute metrics.</w:t>
      </w:r>
    </w:p>
    <w:p>
      <w:pPr>
        <w:pStyle w:val="BodyText"/>
      </w:pPr>
      <w:r>
        <w:t xml:space="preserve">We apply this framework to the SemEval 2013 Beetle dataset (5,199 answers, 42 questions), evaluating a hybrid ML baseline and an LLM grader (GPT-5.4 mini) at two information levels. Our contributions are:</w:t>
      </w:r>
    </w:p>
    <w:p>
      <w:pPr>
        <w:pStyle w:val="Compact"/>
        <w:numPr>
          <w:ilvl w:val="0"/>
          <w:numId w:val="1001"/>
        </w:numPr>
      </w:pPr>
      <w:r>
        <w:t xml:space="preserve">A perturbation-first evaluation framework with seven rule-based generators, two-gate quality validation, and four robustness metrics grounded in validity theory.</w:t>
      </w:r>
    </w:p>
    <w:p>
      <w:pPr>
        <w:pStyle w:val="Compact"/>
        <w:numPr>
          <w:ilvl w:val="0"/>
          <w:numId w:val="1001"/>
        </w:numPr>
      </w:pPr>
      <w:r>
        <w:t xml:space="preserve">A dual-protocol design that quantifies robustness degradation under distribution shift for trained graders, showing the extent to which within-question evaluations overestimate operational reliability.</w:t>
      </w:r>
    </w:p>
    <w:p>
      <w:pPr>
        <w:pStyle w:val="Compact"/>
        <w:numPr>
          <w:ilvl w:val="0"/>
          <w:numId w:val="1001"/>
        </w:numPr>
      </w:pPr>
      <w:r>
        <w:t>A cross-paradigm robustness comparison between trained ML and zero-shot LLM graders, including a structured sensitivity-blindness gradient and a gaming trade-off introduced by reference-answer prompting.</w:t>
      </w:r>
    </w:p>
    <w:p>
      <w:pPr>
        <w:pStyle w:val="CaptionedFigure"/>
      </w:pPr>
      <w:r>
        <w:drawing>
          <wp:inline>
            <wp:extent cx="5727700" cy="3632200"/>
            <wp:effectExtent b="0" l="0" r="0" t="0"/>
            <wp:docPr descr="Figure 1 — Framework overview and headline finding" title="" id="30" name="Picture"/>
            <a:graphic>
              <a:graphicData uri="http://schemas.openxmlformats.org/drawingml/2006/picture">
                <pic:pic>
                  <pic:nvPicPr>
                    <pic:cNvPr descr="figures/figure_1_overview.png" id="31" name="Picture"/>
                    <pic:cNvPicPr>
                      <a:picLocks noChangeArrowheads="1" noChangeAspect="1"/>
                    </pic:cNvPicPr>
                  </pic:nvPicPr>
                  <pic:blipFill>
                    <a:blip r:embed="rId29"/>
                    <a:stretch>
                      <a:fillRect/>
                    </a:stretch>
                  </pic:blipFill>
                  <pic:spPr bwMode="auto">
                    <a:xfrm>
                      <a:off x="0" y="0"/>
                      <a:ext cx="5727700" cy="3632200"/>
                    </a:xfrm>
                    <a:prstGeom prst="rect">
                      <a:avLst/>
                    </a:prstGeom>
                    <a:noFill/>
                    <a:ln w="9525">
                      <a:noFill/>
                      <a:headEnd/>
                      <a:tailEnd/>
                    </a:ln>
                  </pic:spPr>
                </pic:pic>
              </a:graphicData>
            </a:graphic>
          </wp:inline>
        </w:drawing>
      </w:r>
    </w:p>
    <w:p>
      <w:pPr>
        <w:pStyle w:val="ImageCaption"/>
      </w:pPr>
      <w:r>
        <w:t>Figure 1. Framework overview and headline finding</w:t>
      </w:r>
    </w:p>
    <w:p>
      <w:pPr>
        <w:pStyle w:val="BodyText"/>
      </w:pPr>
      <w:r>
        <w:rPr>
          <w:b/>
          <w:bCs/>
        </w:rPr>
        <w:t xml:space="preserve">Figure 1.</w:t>
      </w:r>
      <w:r>
        <w:t xml:space="preserve"> </w:t>
      </w:r>
      <w:r>
        <w:t xml:space="preserve">Framework overview and headline finding.</w:t>
      </w:r>
      <w:r>
        <w:t xml:space="preserve"> </w:t>
      </w:r>
      <w:r>
        <w:rPr>
          <w:b/>
          <w:bCs/>
        </w:rPr>
        <w:t xml:space="preserve">(a)</w:t>
      </w:r>
      <w:r>
        <w:t xml:space="preserve"> </w:t>
      </w:r>
      <w:r>
        <w:t xml:space="preserve">Pipeline: seven generators across three perturbation families produce paired (original, perturbed) inputs to the grader; three self-referential metrics (IVR, SSR, ASR) compare it against itself.</w:t>
      </w:r>
      <w:r>
        <w:t xml:space="preserve"> </w:t>
      </w:r>
      <w:r>
        <w:rPr>
          <w:b/>
          <w:bCs/>
        </w:rPr>
        <w:t xml:space="preserve">(b)</w:t>
      </w:r>
      <w:r>
        <w:t xml:space="preserve"> </w:t>
      </w:r>
      <w:r>
        <w:t xml:space="preserve">Sensitivity-blindness gradient in GPT-5.4 mini with 95% bootstrap CI. Reference prompting (L1) reduces missing on negation and contradiction but</w:t>
      </w:r>
      <w:r>
        <w:t xml:space="preserve"> </w:t>
      </w:r>
      <w:r>
        <w:rPr>
          <w:b/>
          <w:bCs/>
        </w:rPr>
        <w:t xml:space="preserve">increases</w:t>
      </w:r>
      <w:r>
        <w:t xml:space="preserve"> </w:t>
      </w:r>
      <w:r>
        <w:t>it on deletion, the L1 paradox.</w:t>
      </w:r>
    </w:p>
    <w:p>
      <w:r>
        <w:pict>
          <v:rect style="width:0;height:1.5pt" o:hralign="center" o:hrstd="t" o:hr="t"/>
        </w:pict>
      </w:r>
    </w:p>
    <w:bookmarkEnd w:id="32"/>
    <w:bookmarkStart w:id="37" w:name="theoretical-background"/>
    <w:p>
      <w:pPr>
        <w:pStyle w:val="Heading2"/>
      </w:pPr>
      <w:r>
        <w:t xml:space="preserve">2 Theoretical Background</w:t>
      </w:r>
    </w:p>
    <w:bookmarkStart w:id="33" w:name="X941155373a4ad130971820c93be074ef10456a6"/>
    <w:p>
      <w:pPr>
        <w:pStyle w:val="Heading3"/>
      </w:pPr>
      <w:r>
        <w:t xml:space="preserve">2.1 ASAG Methods and the Limits of Accuracy-Centred Evaluation</w:t>
      </w:r>
    </w:p>
    <w:p>
      <w:pPr>
        <w:pStyle w:val="FirstParagraph"/>
      </w:pPr>
      <w:r>
        <w:t xml:space="preserve">The ASAG literature spans nearly two decades of methodological progress, from lexical and dependency-based approaches (Mohler et al., 2011; Burrows et al., 2015) through neural architectures (Riordan et al., 2017) to transformer-based models (Sung et al., 2019; Condor et al., 2021). Across this trajectory, the dominant evaluation paradigm has reported agreement with human raters via accuracy, Quadratic Weighted Kappa, or correlation. The gap between in-distribution agreement scores and operational reliability has long been a concern of the educational measurement community (Heilman and Madnani, 2015; Williamson et al., 2012; Deane, 2013).</w:t>
      </w:r>
    </w:p>
    <w:bookmarkEnd w:id="33"/>
    <w:bookmarkStart w:id="34" w:name="X739cc0cdb3d82bf077170824e090c0f4dcb55fa"/>
    <w:p>
      <w:pPr>
        <w:pStyle w:val="Heading3"/>
      </w:pPr>
      <w:r>
        <w:t xml:space="preserve">2.2 Construct Validity as a Theoretical Foundation</w:t>
      </w:r>
    </w:p>
    <w:p>
      <w:pPr>
        <w:pStyle w:val="FirstParagraph"/>
      </w:pPr>
      <w:r>
        <w:t>The limits of agreement-based evaluation are best understood through construct validity, the degree to which an assessment measures what it claims to measure (Messick, 1989; Kane, 2006). Messick’s framework identifies two principal threats:</w:t>
      </w:r>
      <w:r>
        <w:t xml:space="preserve"> </w:t>
      </w:r>
      <w:r>
        <w:rPr>
          <w:i/>
          <w:iCs/>
        </w:rPr>
        <w:t xml:space="preserve">construct-irrelevant variance</w:t>
      </w:r>
      <w:r>
        <w:t xml:space="preserve"> </w:t>
      </w:r>
      <w:r>
        <w:t xml:space="preserve">(scores influenced by factors unrelated to the construct, e.g. a grader penalising a correct answer for a typo) and</w:t>
      </w:r>
      <w:r>
        <w:t xml:space="preserve"> </w:t>
      </w:r>
      <w:r>
        <w:rPr>
          <w:i/>
          <w:iCs/>
        </w:rPr>
        <w:t xml:space="preserve">construct underrepresentation</w:t>
      </w:r>
      <w:r>
        <w:t xml:space="preserve"> </w:t>
      </w:r>
      <w:r>
        <w:t>(the assessment fails to capture meaningful aspects of the construct, e.g. a grader missing a negation that inverts meaning). To these, the literature on automated scoring has added a third threat specific to algorithmic systems:</w:t>
      </w:r>
      <w:r>
        <w:t xml:space="preserve"> </w:t>
      </w:r>
      <w:r>
        <w:rPr>
          <w:i/>
          <w:iCs/>
        </w:rPr>
        <w:t xml:space="preserve">adversarial gaming</w:t>
      </w:r>
      <w:r>
        <w:t xml:space="preserve">, in which surface manipulations such as keyword stuffing artificially inflate scores (Williamson et al., 2012; Ferrara and Qunbar, 2022).</w:t>
      </w:r>
    </w:p>
    <w:bookmarkEnd w:id="34"/>
    <w:bookmarkStart w:id="35" w:name="X2b6442997d57334ff190dc35a97f625f72ece4e"/>
    <w:p>
      <w:pPr>
        <w:pStyle w:val="Heading3"/>
      </w:pPr>
      <w:r>
        <w:t xml:space="preserve">2.3 Adversarial and Perturbation-Based Evaluation</w:t>
      </w:r>
    </w:p>
    <w:p>
      <w:pPr>
        <w:pStyle w:val="FirstParagraph"/>
      </w:pPr>
      <w:r>
        <w:t xml:space="preserve">Perturbation-based evaluation is a standard methodology for assessing NLP model robustness. Ribeiro et al. (2020) introduced CheckList, a behavioural testing framework that systematically probes model capabilities through invariance, directional, and minimum-functionality tests. The general adversarial-NLP literature provides a wide toolkit of attack strategies, surveyed in Wang et al. (2022).</w:t>
      </w:r>
    </w:p>
    <w:p>
      <w:pPr>
        <w:pStyle w:val="BodyText"/>
      </w:pPr>
      <w:r>
        <w:t xml:space="preserve">Within automated scoring, adversarial vulnerabilities have been documented but not systematically addressed. Ding et al. (2020) showed that content scoring systems could be fooled by random character strings; Kumar et al. (2020) attacked essay scoring with simple perturbations; Filighera et al. (2024) extended this work to ASAG via adversarial usage of adjectives and adverbs. Each focuses on a single attack family, and none proposes a unified, multi-dimensional evaluation framework anchored to validity theory.</w:t>
      </w:r>
    </w:p>
    <w:bookmarkEnd w:id="35"/>
    <w:bookmarkStart w:id="36" w:name="llm-based-scoring-and-open-questions"/>
    <w:p>
      <w:pPr>
        <w:pStyle w:val="Heading3"/>
      </w:pPr>
      <w:r>
        <w:t xml:space="preserve">2.4 LLM-Based Scoring and Open Questions</w:t>
      </w:r>
    </w:p>
    <w:p>
      <w:pPr>
        <w:pStyle w:val="FirstParagraph"/>
      </w:pPr>
      <w:r>
        <w:t xml:space="preserve">The emergence of large language models has introduced a new paradigm in which scoring is performed via zero-shot or few-shot prompting rather than supervised training (Mizumoto and Eguchi, 2023; Naismith et al., 2023; Latif and Zhai, 2024). These studies report encouraging accuracy figures but do not characterise robustness. Two questions are pressing: whether the cross-question robustness drop documented for trained models also affects zero-shot LLM graders, and whether prompting interventions (e.g. supplying a reference answer) interact uniformly with all validity dimensions or produce trade-offs invisible to accuracy alone.</w:t>
      </w:r>
    </w:p>
    <w:p>
      <w:r>
        <w:pict>
          <v:rect style="width:0;height:1.5pt" o:hralign="center" o:hrstd="t" o:hr="t"/>
        </w:pict>
      </w:r>
    </w:p>
    <w:bookmarkEnd w:id="36"/>
    <w:bookmarkEnd w:id="37"/>
    <w:bookmarkStart w:id="43" w:name="methodology"/>
    <w:p>
      <w:pPr>
        <w:pStyle w:val="Heading2"/>
      </w:pPr>
      <w:r>
        <w:t xml:space="preserve">3 Methodology</w:t>
      </w:r>
    </w:p>
    <w:bookmarkStart w:id="38" w:name="framework-architecture"/>
    <w:p>
      <w:pPr>
        <w:pStyle w:val="Heading3"/>
      </w:pPr>
      <w:r>
        <w:t xml:space="preserve">3.1 Framework Architecture</w:t>
      </w:r>
    </w:p>
    <w:p>
      <w:pPr>
        <w:pStyle w:val="FirstParagraph"/>
      </w:pPr>
      <w:r>
        <w:t xml:space="preserve">The evaluation framework follows a unidirectional pipeline (Figure 1a): data loading, perturbation generation, grading, metric computation, and cross-protocol comparison. All data flows through validated immutable models (questions, answers, perturbations, grade results) to ensure reproducibility throughout the pipeline. The framework is implemented in Python and released as an open-source pip-installable package (</w:t>
      </w:r>
      <w:r>
        <w:rPr>
          <w:rStyle w:val="VerbatimChar"/>
        </w:rPr>
        <w:t xml:space="preserve">asag-perturbation</w:t>
      </w:r>
      <w:r>
        <w:t xml:space="preserve">) with a public API and command-line interface; source code, evaluation scripts, and the analyses reported in this paper are available at https://github.com/NNSS666/asag-perturbation-framework.</w:t>
      </w:r>
    </w:p>
    <w:bookmarkEnd w:id="38"/>
    <w:bookmarkStart w:id="39" w:name="perturbation-generation"/>
    <w:p>
      <w:pPr>
        <w:pStyle w:val="Heading3"/>
      </w:pPr>
      <w:r>
        <w:t xml:space="preserve">3.2 Perturbation Generation</w:t>
      </w:r>
    </w:p>
    <w:p>
      <w:pPr>
        <w:pStyle w:val="FirstParagraph"/>
      </w:pPr>
      <w:r>
        <w:t xml:space="preserve">Seven rule-based generators produce up to ten perturbation variants per student answer, organised into three families.</w:t>
      </w:r>
    </w:p>
    <w:p>
      <w:pPr>
        <w:pStyle w:val="BodyText"/>
      </w:pPr>
      <w:r>
        <w:rPr>
          <w:b/>
          <w:bCs/>
        </w:rPr>
        <w:t xml:space="preserve">Invariance family.</w:t>
      </w:r>
      <w:r>
        <w:t xml:space="preserve"> </w:t>
      </w:r>
      <w:r>
        <w:t xml:space="preserve">Synonym substitution replaces content words (nouns, verbs, adjectives) with WordNet synonyms, producing up to two variants per answer. Synonyms are selected deterministically (alphabetically sorted) to ensure reproducibility. Typo insertion introduces a single character-level modification (adjacent swap, deletion, or duplication) into one content word.</w:t>
      </w:r>
    </w:p>
    <w:p>
      <w:pPr>
        <w:pStyle w:val="BodyText"/>
      </w:pPr>
      <w:r>
        <w:rPr>
          <w:b/>
          <w:bCs/>
        </w:rPr>
        <w:t xml:space="preserve">Sensitivity family.</w:t>
      </w:r>
      <w:r>
        <w:t xml:space="preserve"> </w:t>
      </w:r>
      <w:r>
        <w:t xml:space="preserve">Negation insertion adds</w:t>
      </w:r>
      <w:r>
        <w:t xml:space="preserve"> </w:t>
      </w:r>
      <w:r>
        <w:t xml:space="preserve">“not”</w:t>
      </w:r>
      <w:r>
        <w:t xml:space="preserve"> </w:t>
      </w:r>
      <w:r>
        <w:t xml:space="preserve">after auxiliary verbs or prepends</w:t>
      </w:r>
      <w:r>
        <w:t xml:space="preserve"> </w:t>
      </w:r>
      <w:r>
        <w:t xml:space="preserve">“It is not true that”</w:t>
      </w:r>
      <w:r>
        <w:t xml:space="preserve"> </w:t>
      </w:r>
      <w:r>
        <w:t xml:space="preserve">as a fallback. Key concept deletion removes one domain-relevant content word selected via seeded random sampling. Semantic contradiction replaces domain terms with curated antonyms (e.g.,</w:t>
      </w:r>
      <w:r>
        <w:t xml:space="preserve"> </w:t>
      </w:r>
      <w:r>
        <w:t xml:space="preserve">“open”</w:t>
      </w:r>
      <w:r>
        <w:t xml:space="preserve"> </w:t>
      </w:r>
      <w:r>
        <w:t xml:space="preserve">→</w:t>
      </w:r>
      <w:r>
        <w:t xml:space="preserve"> </w:t>
      </w:r>
      <w:r>
        <w:t xml:space="preserve">“closed”</w:t>
      </w:r>
      <w:r>
        <w:t xml:space="preserve">,</w:t>
      </w:r>
      <w:r>
        <w:t xml:space="preserve"> </w:t>
      </w:r>
      <w:r>
        <w:t xml:space="preserve">“series”</w:t>
      </w:r>
      <w:r>
        <w:t xml:space="preserve"> </w:t>
      </w:r>
      <w:r>
        <w:t xml:space="preserve">→</w:t>
      </w:r>
      <w:r>
        <w:t xml:space="preserve"> </w:t>
      </w:r>
      <w:r>
        <w:t xml:space="preserve">“parallel”</w:t>
      </w:r>
      <w:r>
        <w:t xml:space="preserve">) drawn from a 40-pair dictionary covering physics and biology vocabulary.</w:t>
      </w:r>
    </w:p>
    <w:p>
      <w:pPr>
        <w:pStyle w:val="BodyText"/>
      </w:pPr>
      <w:r>
        <w:rPr>
          <w:b/>
          <w:bCs/>
        </w:rPr>
        <w:t xml:space="preserve">Gaming family.</w:t>
      </w:r>
      <w:r>
        <w:t xml:space="preserve"> </w:t>
      </w:r>
      <w:r>
        <w:t xml:space="preserve">Rubric keyword echoing appends reference-answer keywords absent from the student response, simulating keyword stuffing. Fluent wrong extension appends a confident but factually incorrect domain statement from a curated pool of 30 plausible-sounding misconceptions.</w:t>
      </w:r>
    </w:p>
    <w:p>
      <w:pPr>
        <w:pStyle w:val="BodyText"/>
      </w:pPr>
      <w:r>
        <w:rPr>
          <w:b/>
          <w:bCs/>
        </w:rPr>
        <w:t>Box 1. Examples</w:t>
      </w:r>
      <w:r>
        <w:t xml:space="preserve"> </w:t>
      </w:r>
      <w:r>
        <w:t xml:space="preserve">(perturbation in</w:t>
      </w:r>
      <w:r>
        <w:t xml:space="preserve"> </w:t>
      </w:r>
      <w:r>
        <w:rPr>
          <w:b/>
          <w:bCs/>
        </w:rPr>
        <w:t xml:space="preserve">bold</w:t>
      </w:r>
      <w:r>
        <w:t xml:space="preserve">):</w:t>
      </w:r>
    </w:p>
    <w:p>
      <w:pPr>
        <w:pStyle w:val="Compact"/>
        <w:numPr>
          <w:ilvl w:val="0"/>
          <w:numId w:val="1002"/>
        </w:numPr>
      </w:pPr>
      <w:r>
        <w:rPr>
          <w:i/>
          <w:iCs/>
        </w:rPr>
        <w:t xml:space="preserve">Synonym (invariance):</w:t>
      </w:r>
      <w:r>
        <w:t xml:space="preserve"> </w:t>
      </w:r>
      <w:r>
        <w:t xml:space="preserve">“the</w:t>
      </w:r>
      <w:r>
        <w:t xml:space="preserve"> </w:t>
      </w:r>
      <w:r>
        <w:rPr>
          <w:b/>
          <w:bCs/>
        </w:rPr>
        <w:t xml:space="preserve">bulb</w:t>
      </w:r>
      <w:r>
        <w:t xml:space="preserve"> </w:t>
      </w:r>
      <w:r>
        <w:t xml:space="preserve">lights up”</w:t>
      </w:r>
      <w:r>
        <w:t xml:space="preserve"> </w:t>
      </w:r>
      <w:r>
        <w:t xml:space="preserve">→</w:t>
      </w:r>
      <w:r>
        <w:t xml:space="preserve"> </w:t>
      </w:r>
      <w:r>
        <w:t xml:space="preserve">“the</w:t>
      </w:r>
      <w:r>
        <w:t xml:space="preserve"> </w:t>
      </w:r>
      <w:r>
        <w:rPr>
          <w:b/>
          <w:bCs/>
        </w:rPr>
        <w:t xml:space="preserve">lamp</w:t>
      </w:r>
      <w:r>
        <w:t xml:space="preserve"> </w:t>
      </w:r>
      <w:r>
        <w:t xml:space="preserve">lights up”</w:t>
      </w:r>
    </w:p>
    <w:p>
      <w:pPr>
        <w:pStyle w:val="Compact"/>
        <w:numPr>
          <w:ilvl w:val="0"/>
          <w:numId w:val="1002"/>
        </w:numPr>
      </w:pPr>
      <w:r>
        <w:rPr>
          <w:i/>
          <w:iCs/>
        </w:rPr>
        <w:t xml:space="preserve">Negation (sensitivity):</w:t>
      </w:r>
      <w:r>
        <w:t xml:space="preserve"> </w:t>
      </w:r>
      <w:r>
        <w:t xml:space="preserve">“the terminals are connected”</w:t>
      </w:r>
      <w:r>
        <w:t xml:space="preserve"> </w:t>
      </w:r>
      <w:r>
        <w:t xml:space="preserve">→</w:t>
      </w:r>
      <w:r>
        <w:t xml:space="preserve"> </w:t>
      </w:r>
      <w:r>
        <w:t xml:space="preserve">“the terminals are</w:t>
      </w:r>
      <w:r>
        <w:t xml:space="preserve"> </w:t>
      </w:r>
      <w:r>
        <w:rPr>
          <w:b/>
          <w:bCs/>
        </w:rPr>
        <w:t xml:space="preserve">not</w:t>
      </w:r>
      <w:r>
        <w:t xml:space="preserve"> </w:t>
      </w:r>
      <w:r>
        <w:t xml:space="preserve">connected”</w:t>
      </w:r>
    </w:p>
    <w:p>
      <w:pPr>
        <w:pStyle w:val="Compact"/>
        <w:numPr>
          <w:ilvl w:val="0"/>
          <w:numId w:val="1002"/>
        </w:numPr>
      </w:pPr>
      <w:r>
        <w:rPr>
          <w:i/>
          <w:iCs/>
        </w:rPr>
        <w:t xml:space="preserve">Deletion (sensitivity):</w:t>
      </w:r>
      <w:r>
        <w:t xml:space="preserve"> </w:t>
      </w:r>
      <w:r>
        <w:t xml:space="preserve">“the battery is in</w:t>
      </w:r>
      <w:r>
        <w:t xml:space="preserve"> </w:t>
      </w:r>
      <w:r>
        <w:rPr>
          <w:b/>
          <w:bCs/>
        </w:rPr>
        <w:t xml:space="preserve">a closed path</w:t>
      </w:r>
      <w:r>
        <w:t xml:space="preserve">”</w:t>
      </w:r>
      <w:r>
        <w:t xml:space="preserve"> </w:t>
      </w:r>
      <w:r>
        <w:t xml:space="preserve">→</w:t>
      </w:r>
      <w:r>
        <w:t xml:space="preserve"> </w:t>
      </w:r>
      <w:r>
        <w:t xml:space="preserve">“the battery is in</w:t>
      </w:r>
      <w:r>
        <w:t xml:space="preserve"> </w:t>
      </w:r>
      <w:r>
        <w:rPr>
          <w:b/>
          <w:bCs/>
        </w:rPr>
        <w:t xml:space="preserve">a path</w:t>
      </w:r>
      <w:r>
        <w:t xml:space="preserve">”</w:t>
      </w:r>
    </w:p>
    <w:p>
      <w:pPr>
        <w:pStyle w:val="Compact"/>
        <w:numPr>
          <w:ilvl w:val="0"/>
          <w:numId w:val="1002"/>
        </w:numPr>
      </w:pPr>
      <w:r>
        <w:rPr>
          <w:i/>
          <w:iCs/>
        </w:rPr>
        <w:t xml:space="preserve">Contradiction (sensitivity):</w:t>
      </w:r>
      <w:r>
        <w:t xml:space="preserve"> </w:t>
      </w:r>
      <w:r>
        <w:t xml:space="preserve">“switches connected in</w:t>
      </w:r>
      <w:r>
        <w:t xml:space="preserve"> </w:t>
      </w:r>
      <w:r>
        <w:rPr>
          <w:b/>
          <w:bCs/>
        </w:rPr>
        <w:t xml:space="preserve">series</w:t>
      </w:r>
      <w:r>
        <w:t xml:space="preserve">”</w:t>
      </w:r>
      <w:r>
        <w:t xml:space="preserve"> </w:t>
      </w:r>
      <w:r>
        <w:t xml:space="preserve">→</w:t>
      </w:r>
      <w:r>
        <w:t xml:space="preserve"> </w:t>
      </w:r>
      <w:r>
        <w:t xml:space="preserve">“switches connected in</w:t>
      </w:r>
      <w:r>
        <w:t xml:space="preserve"> </w:t>
      </w:r>
      <w:r>
        <w:rPr>
          <w:b/>
          <w:bCs/>
        </w:rPr>
        <w:t xml:space="preserve">parallel</w:t>
      </w:r>
      <w:r>
        <w:t xml:space="preserve">”</w:t>
      </w:r>
    </w:p>
    <w:p>
      <w:pPr>
        <w:pStyle w:val="Compact"/>
        <w:numPr>
          <w:ilvl w:val="0"/>
          <w:numId w:val="1002"/>
        </w:numPr>
      </w:pPr>
      <w:r>
        <w:rPr>
          <w:i/>
          <w:iCs/>
        </w:rPr>
        <w:t xml:space="preserve">Gaming:</w:t>
      </w:r>
      <w:r>
        <w:t xml:space="preserve"> </w:t>
      </w:r>
      <w:r>
        <w:t xml:space="preserve">“the bulb stays on”</w:t>
      </w:r>
      <w:r>
        <w:t xml:space="preserve"> </w:t>
      </w:r>
      <w:r>
        <w:t xml:space="preserve">→</w:t>
      </w:r>
      <w:r>
        <w:t xml:space="preserve"> </w:t>
      </w:r>
      <w:r>
        <w:t xml:space="preserve">“the bulb stays on</w:t>
      </w:r>
      <w:r>
        <w:t xml:space="preserve"> </w:t>
      </w:r>
      <w:r>
        <w:rPr>
          <w:b/>
          <w:bCs/>
        </w:rPr>
        <w:t xml:space="preserve">because voltage flows backwards</w:t>
      </w:r>
      <w:r>
        <w:t xml:space="preserve">”</w:t>
      </w:r>
    </w:p>
    <w:bookmarkEnd w:id="39"/>
    <w:bookmarkStart w:id="40" w:name="two-gate-quality-validation"/>
    <w:p>
      <w:pPr>
        <w:pStyle w:val="Heading3"/>
      </w:pPr>
      <w:r>
        <w:t xml:space="preserve">3.3 Two-Gate Quality Validation</w:t>
      </w:r>
    </w:p>
    <w:p>
      <w:pPr>
        <w:pStyle w:val="FirstParagraph"/>
      </w:pPr>
      <w:r>
        <w:t xml:space="preserve">Invariance perturbations undergo two validation gates before acceptance. Gate 1 applies only to synonym substitution: candidate texts must achieve cosine similarity of at least 0.85 with the original, measured via sentence-BERT embeddings (all-MiniLM-L6-v2). Gate 2 applies to all invariance types: candidates introducing new negation markers or antonyms not present in the original are rejected. Rejected candidates are not regenerated; the rejection rate is reported as a research result, reflecting the inherent difficulty of producing valid invariance perturbations for short science answers. The gates encode the</w:t>
      </w:r>
      <w:r>
        <w:t xml:space="preserve"> </w:t>
      </w:r>
      <w:r>
        <w:rPr>
          <w:i/>
          <w:iCs/>
        </w:rPr>
        <w:t xml:space="preserve">perturbation-level</w:t>
      </w:r>
      <w:r>
        <w:t xml:space="preserve"> </w:t>
      </w:r>
      <w:r>
        <w:t>ground truth (whether a candidate variant preserves meaning as intended) and are distinct from the</w:t>
      </w:r>
      <w:r>
        <w:t xml:space="preserve"> </w:t>
      </w:r>
      <w:r>
        <w:rPr>
          <w:i/>
          <w:iCs/>
        </w:rPr>
        <w:t xml:space="preserve">answer-level</w:t>
      </w:r>
      <w:r>
        <w:t xml:space="preserve"> </w:t>
      </w:r>
      <w:r>
        <w:t xml:space="preserve">gold labels supplied by the dataset (Section 4.1), which encode whether the original student answer is correct.</w:t>
      </w:r>
    </w:p>
    <w:bookmarkEnd w:id="40"/>
    <w:bookmarkStart w:id="41" w:name="robustness-metrics"/>
    <w:p>
      <w:pPr>
        <w:pStyle w:val="Heading3"/>
      </w:pPr>
      <w:r>
        <w:t xml:space="preserve">3.4 Robustness Metrics</w:t>
      </w:r>
    </w:p>
    <w:p>
      <w:pPr>
        <w:pStyle w:val="FirstParagraph"/>
      </w:pPr>
      <w:r>
        <w:t xml:space="preserve">All metrics compare the grader’s own score on the original answer against its score on the perturbed answer, isolating robustness from accuracy.</w:t>
      </w:r>
    </w:p>
    <w:p>
      <w:pPr>
        <w:pStyle w:val="BodyText"/>
      </w:pPr>
      <w:r>
        <w:rPr>
          <w:b/>
          <w:bCs/>
        </w:rPr>
        <w:t xml:space="preserve">IVR_flip</w:t>
      </w:r>
      <w:r>
        <w:t xml:space="preserve"> </w:t>
      </w:r>
      <w:r>
        <w:t xml:space="preserve">(Invariance Violation Rate, binary): the proportion of invariance pairs where the grader’s score changed at all. Lower values indicate greater robustness.</w:t>
      </w:r>
    </w:p>
    <w:p>
      <w:pPr>
        <w:pStyle w:val="BodyText"/>
      </w:pPr>
      <w:r>
        <w:rPr>
          <w:b/>
          <w:bCs/>
        </w:rPr>
        <w:t xml:space="preserve">IVR_absdelta</w:t>
      </w:r>
      <w:r>
        <w:t xml:space="preserve"> </w:t>
      </w:r>
      <w:r>
        <w:t xml:space="preserve">(Invariance Violation Rate, continuous): the mean absolute score difference across invariance pairs. Captures violation magnitude, not just occurrence.</w:t>
      </w:r>
    </w:p>
    <w:p>
      <w:pPr>
        <w:pStyle w:val="BodyText"/>
      </w:pPr>
      <w:r>
        <w:rPr>
          <w:b/>
          <w:bCs/>
        </w:rPr>
        <w:t xml:space="preserve">SSR_directional</w:t>
      </w:r>
      <w:r>
        <w:t xml:space="preserve"> </w:t>
      </w:r>
      <w:r>
        <w:t xml:space="preserve">(Sensitivity Success Rate): the proportion of sensitivity pairs where the perturbed score strictly decreased. Higher values indicate the grader correctly detects meaning-altering changes. No-change counts as failure, since a sensitivity perturbation that does not alter the grade indicates the grader missed the modification.</w:t>
      </w:r>
    </w:p>
    <w:p>
      <w:pPr>
        <w:pStyle w:val="BodyText"/>
      </w:pPr>
      <w:r>
        <w:rPr>
          <w:b/>
          <w:bCs/>
        </w:rPr>
        <w:t xml:space="preserve">ASR_thresholded</w:t>
      </w:r>
      <w:r>
        <w:t xml:space="preserve"> </w:t>
      </w:r>
      <w:r>
        <w:t xml:space="preserve">(Adversarial Success Rate): the proportion of gaming pairs where the score crossed from below the passing threshold (0.5) to at or above it. Measures vulnerability to adversarial manipulation. Already-passing answers that increase further are excluded.</w:t>
      </w:r>
    </w:p>
    <w:p>
      <w:pPr>
        <w:pStyle w:val="BodyText"/>
      </w:pPr>
      <w:r>
        <w:t xml:space="preserve">Scores are rounded to six decimal places before comparison to prevent IEEE 754 floating-point artefacts from producing false positive violations.</w:t>
      </w:r>
    </w:p>
    <w:p>
      <w:pPr>
        <w:pStyle w:val="BodyText"/>
      </w:pPr>
      <w:r>
        <w:rPr>
          <w:b/>
          <w:bCs/>
        </w:rPr>
        <w:t xml:space="preserve">On metric direction.</w:t>
      </w:r>
      <w:r>
        <w:t xml:space="preserve"> </w:t>
      </w:r>
      <w:r>
        <w:t xml:space="preserve">The four metrics are reported on their canonical scales (lower is better for IVR and ASR, higher is better for SSR) rather than aggregated into a single composite robustness index. This preserves continuity with the validity-theoretic constructs each metric targets and with the existing literature, and avoids the arbitrariness of weighting heterogeneous dimensions whose practical importance varies by deployment context. Joint reading across the three dimensions, illustrated in Section 5.2, is what surfaces the trade-offs that single-metric evaluation hides.</w:t>
      </w:r>
    </w:p>
    <w:bookmarkEnd w:id="41"/>
    <w:bookmarkStart w:id="42" w:name="dual-protocol-evaluation"/>
    <w:p>
      <w:pPr>
        <w:pStyle w:val="Heading3"/>
      </w:pPr>
      <w:r>
        <w:t xml:space="preserve">3.5 Dual-Protocol Evaluation</w:t>
      </w:r>
    </w:p>
    <w:p>
      <w:pPr>
        <w:pStyle w:val="FirstParagraph"/>
      </w:pPr>
      <w:r>
        <w:t xml:space="preserve">The dual-protocol design targets trained graders and quantifies how much robustness they lose on questions not seen during training.</w:t>
      </w:r>
    </w:p>
    <w:p>
      <w:pPr>
        <w:pStyle w:val="BodyText"/>
      </w:pPr>
      <w:r>
        <w:rPr>
          <w:b/>
          <w:bCs/>
        </w:rPr>
        <w:t>Protocol A (LOQO, Leave-One-Question-Out)</w:t>
      </w:r>
      <w:r>
        <w:t xml:space="preserve"> </w:t>
      </w:r>
      <w:r>
        <w:t xml:space="preserve">implements cross-question evaluation. For each of 42 questions the grader is trained on answers from all other questions and tested on the held-out one (a leakage diagnostic verifies that no held-out question text appears in training). This is the realistic deployment scenario.</w:t>
      </w:r>
    </w:p>
    <w:p>
      <w:pPr>
        <w:pStyle w:val="BodyText"/>
      </w:pPr>
      <w:r>
        <w:rPr>
          <w:b/>
          <w:bCs/>
        </w:rPr>
        <w:t xml:space="preserve">Protocol B (within-question 80/20)</w:t>
      </w:r>
      <w:r>
        <w:t xml:space="preserve"> </w:t>
      </w:r>
      <w:r>
        <w:t xml:space="preserve">implements in-distribution evaluation. For each question independently, answers are split 80/20 with stratified sampling on gold labels and the grader is trained and tested on the same question. This is the optimistic scenario typically reported in the literature.</w:t>
      </w:r>
    </w:p>
    <w:p>
      <w:pPr>
        <w:pStyle w:val="BodyText"/>
      </w:pPr>
      <w:r>
        <w:rPr>
          <w:b/>
          <w:bCs/>
        </w:rPr>
        <w:t xml:space="preserve">Robustness drop</w:t>
      </w:r>
      <w:r>
        <w:t xml:space="preserve"> </w:t>
      </w:r>
      <w:r>
        <w:t xml:space="preserve">is the difference between A and B aggregate metrics, macro-averaged across questions. For IVR and ASR a positive drop signals degradation under shift; for SSR a negative drop does.</w:t>
      </w:r>
      <w:r>
        <w:t xml:space="preserve"> </w:t>
      </w:r>
      <w:r>
        <w:rPr>
          <w:b/>
          <w:bCs/>
        </w:rPr>
        <w:t xml:space="preserve">Zero-shot LLM graders</w:t>
      </w:r>
      <w:r>
        <w:t xml:space="preserve"> </w:t>
      </w:r>
      <w:r>
        <w:t>receive an identical prompt regardless of split, so their A and B results are equivalent up to sampling noise; we evaluate them on absolute metrics and compare against the trained baseline’s Protocol A, the most demanding condition.</w:t>
      </w:r>
    </w:p>
    <w:p>
      <w:r>
        <w:pict>
          <v:rect style="width:0;height:1.5pt" o:hralign="center" o:hrstd="t" o:hr="t"/>
        </w:pict>
      </w:r>
    </w:p>
    <w:bookmarkEnd w:id="42"/>
    <w:bookmarkEnd w:id="43"/>
    <w:bookmarkStart w:id="47" w:name="experimental-setup"/>
    <w:p>
      <w:pPr>
        <w:pStyle w:val="Heading2"/>
      </w:pPr>
      <w:r>
        <w:t xml:space="preserve">4 Experimental Setup</w:t>
      </w:r>
    </w:p>
    <w:bookmarkStart w:id="44" w:name="dataset"/>
    <w:p>
      <w:pPr>
        <w:pStyle w:val="Heading3"/>
      </w:pPr>
      <w:r>
        <w:t xml:space="preserve">4.1 Dataset</w:t>
      </w:r>
    </w:p>
    <w:p>
      <w:pPr>
        <w:pStyle w:val="FirstParagraph"/>
      </w:pPr>
      <w:r>
        <w:t xml:space="preserve">We use the SemEval 2013 Task 7 Beetle dataset (Dzikovska et al., 2013), comprising 5,199 student answers to 42 science questions about electrical circuits. Answers are labelled on a five-way scale: correct (42.0%), partially_correct_incomplete (23.1%), contradictory (27.0%), non_domain (5.0%), and irrelevant (2.9%). Labels are normalised to a continuous [0, 1] scale (correct = 1.0, partial = 0.5, others = 0.0) following the ASAG2024 benchmark convention. These dataset-supplied labels constitute the</w:t>
      </w:r>
      <w:r>
        <w:t xml:space="preserve"> </w:t>
      </w:r>
      <w:r>
        <w:rPr>
          <w:i/>
          <w:iCs/>
        </w:rPr>
        <w:t xml:space="preserve">answer-level</w:t>
      </w:r>
      <w:r>
        <w:t xml:space="preserve"> </w:t>
      </w:r>
      <w:r>
        <w:t xml:space="preserve">ground truth used to compute baseline accuracy and to interpret robustness results; the</w:t>
      </w:r>
      <w:r>
        <w:t xml:space="preserve"> </w:t>
      </w:r>
      <w:r>
        <w:rPr>
          <w:i/>
          <w:iCs/>
        </w:rPr>
        <w:t xml:space="preserve">perturbation-level</w:t>
      </w:r>
      <w:r>
        <w:t xml:space="preserve"> </w:t>
      </w:r>
      <w:r>
        <w:t>ground truth (whether a generated variant is a valid invariance, sensitivity, or gaming case) is enforced by the two-gate validation described in Section 3.3 and by the rule-based construction of each perturbation type. Robustness metrics themselves do not consult either ground truth: they compare the grader against itself.</w:t>
      </w:r>
    </w:p>
    <w:bookmarkEnd w:id="44"/>
    <w:bookmarkStart w:id="45" w:name="graders"/>
    <w:p>
      <w:pPr>
        <w:pStyle w:val="Heading3"/>
      </w:pPr>
      <w:r>
        <w:t xml:space="preserve">4.2 Graders</w:t>
      </w:r>
    </w:p>
    <w:p>
      <w:pPr>
        <w:pStyle w:val="FirstParagraph"/>
      </w:pPr>
      <w:r>
        <w:rPr>
          <w:b/>
          <w:bCs/>
        </w:rPr>
        <w:t xml:space="preserve">Hybrid ML baseline.</w:t>
      </w:r>
      <w:r>
        <w:t xml:space="preserve"> </w:t>
      </w:r>
      <w:r>
        <w:t xml:space="preserve">A logistic regression classifier trained on 388-dimensional feature vectors: four handcrafted linguistic features (lexical overlap, length ratio, negation flag, reference-token recall) concatenated with 384-dimensional sentence-BERT embeddings (Reimers and Gurevych, 2019; specifically, the all-MiniLM-L6-v2 model). Class weights are balanced to handle label imbalance. This configuration is broadly representative of strong feature-based ASAG baselines reported in the literature (Sung et al., 2019; Condor et al., 2021).</w:t>
      </w:r>
    </w:p>
    <w:p>
      <w:pPr>
        <w:pStyle w:val="BodyText"/>
      </w:pPr>
      <w:r>
        <w:rPr>
          <w:b/>
          <w:bCs/>
        </w:rPr>
        <w:t xml:space="preserve">LLM grader.</w:t>
      </w:r>
      <w:r>
        <w:t xml:space="preserve"> </w:t>
      </w:r>
      <w:r>
        <w:t xml:space="preserve">Zero-shot prompting of GPT-5.4 mini, evaluated at two information levels. Level 0 supplies the question and the student answer only; Level 1 additionally supplies the reference answer and instructs the model to compare the student response against it. Temperature is set to 0.0 for near-deterministic output, with a fixed seed for reproducibility. The model outputs a JSON object with a label and a confidence score; labels are mapped to the same [0, 1] scale as the gold labels. Because the LLM operates in a zero-shot regime with no task-specific training, the dual-protocol distinction does not alter its input; it is evaluated once and compared against the HybridGrader’s Protocol A (cross-question) results.</w:t>
      </w:r>
    </w:p>
    <w:bookmarkEnd w:id="45"/>
    <w:bookmarkStart w:id="46" w:name="perturbation-statistics"/>
    <w:p>
      <w:pPr>
        <w:pStyle w:val="Heading3"/>
      </w:pPr>
      <w:r>
        <w:t xml:space="preserve">4.3 Perturbation Statistics</w:t>
      </w:r>
    </w:p>
    <w:p>
      <w:pPr>
        <w:pStyle w:val="FirstParagraph"/>
      </w:pPr>
      <w:r>
        <w:t xml:space="preserve">The perturbation engine generated 41,444 perturbations across all seven types from 5,199 source answers, averaging 8.0 perturbations per answer (the theoretical maximum is 10). Gate 1 (SBERT cosine similarity &lt; 0.85) rejected 40.3% of synonym substitution candidates, indicating that nearly half of WordNet synonym replacements produce semantically divergent texts in the science domain. Gate 2 (negation/antonym heuristic) provided additional filtering for meaning-inverting substitutions across all invariance types. The rejection rate is reported as a research result rather than a failure: it quantifies the inherent difficulty of producing valid invariance perturbations in technical domains and motivates the two-gate design.</w:t>
      </w:r>
    </w:p>
    <w:p>
      <w:r>
        <w:pict>
          <v:rect style="width:0;height:1.5pt" o:hralign="center" o:hrstd="t" o:hr="t"/>
        </w:pict>
      </w:r>
    </w:p>
    <w:bookmarkEnd w:id="46"/>
    <w:bookmarkEnd w:id="47"/>
    <w:bookmarkStart w:id="52" w:name="results"/>
    <w:p>
      <w:pPr>
        <w:pStyle w:val="Heading2"/>
      </w:pPr>
      <w:r>
        <w:t xml:space="preserve">5 Results</w:t>
      </w:r>
    </w:p>
    <w:p>
      <w:pPr>
        <w:pStyle w:val="FirstParagraph"/>
      </w:pPr>
      <w:r>
        <w:t xml:space="preserve">Results are organised in four parts: dual-protocol analysis of the trained HybridGrader (5.1); cross-paradigm comparison with the zero-shot LLM, including reference-answer availability (5.2); score-distribution artefacts and the floor effect (5.3); and disaggregation of the LLM’s sensitivity errors revealing the structured blindness gradient (5.4).</w:t>
      </w:r>
    </w:p>
    <w:bookmarkStart w:id="48" w:name="Xc809b316f312309586489cdd55a59630b36253f"/>
    <w:p>
      <w:pPr>
        <w:pStyle w:val="Heading3"/>
      </w:pPr>
      <w:r>
        <w:t xml:space="preserve">5.1 Dual-Protocol Analysis: Robustness Drop of the Trained Grader</w:t>
      </w:r>
    </w:p>
    <w:p>
      <w:pPr>
        <w:pStyle w:val="FirstParagraph"/>
      </w:pPr>
      <w:r>
        <w:t xml:space="preserve">Table 1 reports the HybridGrader’s aggregate robustness metrics under both evaluation protocols.</w:t>
      </w:r>
    </w:p>
    <w:p>
      <w:pPr>
        <w:pStyle w:val="BodyText"/>
      </w:pPr>
      <w:r>
        <w:rPr>
          <w:b/>
          <w:bCs/>
        </w:rPr>
        <w:t xml:space="preserve">Table 1. HybridGrader robustness metrics by evaluation protocol.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Protocol B (in-distribution)</w:t>
            </w:r>
          </w:p>
        </w:tc>
        <w:tc>
          <w:tcPr/>
          <w:p>
            <w:pPr>
              <w:pStyle w:val="Compact"/>
            </w:pPr>
            <w:r>
              <w:t xml:space="preserve">Protocol A (cross-question)</w:t>
            </w:r>
          </w:p>
        </w:tc>
        <w:tc>
          <w:tcPr/>
          <w:p>
            <w:pPr>
              <w:pStyle w:val="Compact"/>
            </w:pPr>
            <w:r>
              <w:t xml:space="preserve">Drop (A − B)</w:t>
            </w:r>
          </w:p>
        </w:tc>
      </w:tr>
      <w:tr>
        <w:tc>
          <w:tcPr/>
          <w:p>
            <w:pPr>
              <w:pStyle w:val="Compact"/>
            </w:pPr>
            <w:r>
              <w:t xml:space="preserve">IVR_flip (↓)</w:t>
            </w:r>
          </w:p>
        </w:tc>
        <w:tc>
          <w:tcPr/>
          <w:p>
            <w:pPr>
              <w:pStyle w:val="Compact"/>
            </w:pPr>
            <w:r>
              <w:t xml:space="preserve">0.179</w:t>
            </w:r>
          </w:p>
        </w:tc>
        <w:tc>
          <w:tcPr/>
          <w:p>
            <w:pPr>
              <w:pStyle w:val="Compact"/>
            </w:pPr>
            <w:r>
              <w:t xml:space="preserve">0.337</w:t>
            </w:r>
          </w:p>
        </w:tc>
        <w:tc>
          <w:tcPr/>
          <w:p>
            <w:pPr>
              <w:pStyle w:val="Compact"/>
            </w:pPr>
            <w:r>
              <w:rPr>
                <w:b/>
                <w:bCs/>
              </w:rPr>
              <w:t xml:space="preserve">+0.158</w:t>
            </w:r>
          </w:p>
        </w:tc>
      </w:tr>
      <w:tr>
        <w:tc>
          <w:tcPr/>
          <w:p>
            <w:pPr>
              <w:pStyle w:val="Compact"/>
            </w:pPr>
            <w:r>
              <w:t xml:space="preserve">IVR_absdelta (↓)</w:t>
            </w:r>
          </w:p>
        </w:tc>
        <w:tc>
          <w:tcPr/>
          <w:p>
            <w:pPr>
              <w:pStyle w:val="Compact"/>
            </w:pPr>
            <w:r>
              <w:t xml:space="preserve">0.125</w:t>
            </w:r>
          </w:p>
        </w:tc>
        <w:tc>
          <w:tcPr/>
          <w:p>
            <w:pPr>
              <w:pStyle w:val="Compact"/>
            </w:pPr>
            <w:r>
              <w:t xml:space="preserve">0.242</w:t>
            </w:r>
          </w:p>
        </w:tc>
        <w:tc>
          <w:tcPr/>
          <w:p>
            <w:pPr>
              <w:pStyle w:val="Compact"/>
            </w:pPr>
            <w:r>
              <w:rPr>
                <w:b/>
                <w:bCs/>
              </w:rPr>
              <w:t xml:space="preserve">+0.118</w:t>
            </w:r>
          </w:p>
        </w:tc>
      </w:tr>
      <w:tr>
        <w:tc>
          <w:tcPr/>
          <w:p>
            <w:pPr>
              <w:pStyle w:val="Compact"/>
            </w:pPr>
            <w:r>
              <w:t xml:space="preserve">SSR_directional (↑)</w:t>
            </w:r>
          </w:p>
        </w:tc>
        <w:tc>
          <w:tcPr/>
          <w:p>
            <w:pPr>
              <w:pStyle w:val="Compact"/>
            </w:pPr>
            <w:r>
              <w:t xml:space="preserve">0.120</w:t>
            </w:r>
          </w:p>
        </w:tc>
        <w:tc>
          <w:tcPr/>
          <w:p>
            <w:pPr>
              <w:pStyle w:val="Compact"/>
            </w:pPr>
            <w:r>
              <w:t xml:space="preserve">0.140</w:t>
            </w:r>
          </w:p>
        </w:tc>
        <w:tc>
          <w:tcPr/>
          <w:p>
            <w:pPr>
              <w:pStyle w:val="Compact"/>
            </w:pPr>
            <w:r>
              <w:t xml:space="preserve">+0.020</w:t>
            </w:r>
          </w:p>
        </w:tc>
      </w:tr>
      <w:tr>
        <w:tc>
          <w:tcPr/>
          <w:p>
            <w:pPr>
              <w:pStyle w:val="Compact"/>
            </w:pPr>
            <w:r>
              <w:t xml:space="preserve">ASR_thresholded (↓)</w:t>
            </w:r>
          </w:p>
        </w:tc>
        <w:tc>
          <w:tcPr/>
          <w:p>
            <w:pPr>
              <w:pStyle w:val="Compact"/>
            </w:pPr>
            <w:r>
              <w:t xml:space="preserve">0.115</w:t>
            </w:r>
          </w:p>
        </w:tc>
        <w:tc>
          <w:tcPr/>
          <w:p>
            <w:pPr>
              <w:pStyle w:val="Compact"/>
            </w:pPr>
            <w:r>
              <w:t xml:space="preserve">0.188</w:t>
            </w:r>
          </w:p>
        </w:tc>
        <w:tc>
          <w:tcPr/>
          <w:p>
            <w:pPr>
              <w:pStyle w:val="Compact"/>
            </w:pPr>
            <w:r>
              <w:rPr>
                <w:b/>
                <w:bCs/>
              </w:rPr>
              <w:t xml:space="preserve">+0.074</w:t>
            </w:r>
          </w:p>
        </w:tc>
      </w:tr>
    </w:tbl>
    <w:p>
      <w:pPr>
        <w:pStyle w:val="BodyText"/>
      </w:pPr>
      <w:r>
        <w:t xml:space="preserve">Invariance violations nearly double from Protocol B to A (IVR_flip 0.179 → 0.337): the grader changes its score on meaning-preserving perturbations 33.7% of the time on unseen questions, versus 17.9% on familiar ones. Gaming vulnerability follows the same pattern (ASR 0.115 → 0.188): adversarial inputs are 64% more effective on novel questions. Sensitivity detection remains low under both protocols (SSR ≈ 0.13), indicating that the HybridGrader’s failure to detect meaning-altering perturbations is a structural limitation of feature-based scoring rather than a distribution-shift effect. Within-question evaluations therefore systematically overestimate operational robustness; the +15.8 pp IVR_flip and +7.4 pp ASR drops quantify the extent of this overestimation.</w:t>
      </w:r>
    </w:p>
    <w:bookmarkEnd w:id="48"/>
    <w:bookmarkStart w:id="49" w:name="X959fd0361b4a45b778be5eae12aea246e63bb00"/>
    <w:p>
      <w:pPr>
        <w:pStyle w:val="Heading3"/>
      </w:pPr>
      <w:r>
        <w:t xml:space="preserve">5.2 Cross-Paradigm Comparison: Trained ML vs. Zero-Shot LLM</w:t>
      </w:r>
    </w:p>
    <w:p>
      <w:pPr>
        <w:pStyle w:val="FirstParagraph"/>
      </w:pPr>
      <w:r>
        <w:t>Because the zero-shot LLM grader receives an identical prompt regardless of the data split (see Section 3.5), we report its absolute robustness metrics and compare them against the HybridGrader’s Protocol A results, the most demanding evaluation condition for the trained baseline. Table 2 summarises the comparison.</w:t>
      </w:r>
    </w:p>
    <w:p>
      <w:pPr>
        <w:pStyle w:val="BodyText"/>
      </w:pPr>
      <w:r>
        <w:rPr>
          <w:b/>
          <w:bCs/>
        </w:rPr>
        <w:t xml:space="preserve">Table 2. Cross-paradigm robustness comparison (HybridGrader at Protocol A; LLM zero-shot, single-run).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HybridGrader (A)</w:t>
            </w:r>
          </w:p>
        </w:tc>
        <w:tc>
          <w:tcPr/>
          <w:p>
            <w:pPr>
              <w:pStyle w:val="Compact"/>
            </w:pPr>
            <w:r>
              <w:t xml:space="preserve">GPT-5.4 mini L0</w:t>
            </w:r>
          </w:p>
        </w:tc>
        <w:tc>
          <w:tcPr/>
          <w:p>
            <w:pPr>
              <w:pStyle w:val="Compact"/>
            </w:pPr>
            <w:r>
              <w:t xml:space="preserve">GPT-5.4 mini L1</w:t>
            </w:r>
          </w:p>
        </w:tc>
      </w:tr>
      <w:tr>
        <w:tc>
          <w:tcPr/>
          <w:p>
            <w:pPr>
              <w:pStyle w:val="Compact"/>
            </w:pPr>
            <w:r>
              <w:t xml:space="preserve">IVR_flip (↓)</w:t>
            </w:r>
          </w:p>
        </w:tc>
        <w:tc>
          <w:tcPr/>
          <w:p>
            <w:pPr>
              <w:pStyle w:val="Compact"/>
            </w:pPr>
            <w:r>
              <w:t xml:space="preserve">0.337</w:t>
            </w:r>
          </w:p>
        </w:tc>
        <w:tc>
          <w:tcPr/>
          <w:p>
            <w:pPr>
              <w:pStyle w:val="Compact"/>
            </w:pPr>
            <w:r>
              <w:t xml:space="preserve">0.243</w:t>
            </w:r>
          </w:p>
        </w:tc>
        <w:tc>
          <w:tcPr/>
          <w:p>
            <w:pPr>
              <w:pStyle w:val="Compact"/>
            </w:pPr>
            <w:r>
              <w:rPr>
                <w:b/>
                <w:bCs/>
              </w:rPr>
              <w:t xml:space="preserve">0.134</w:t>
            </w:r>
          </w:p>
        </w:tc>
      </w:tr>
      <w:tr>
        <w:tc>
          <w:tcPr/>
          <w:p>
            <w:pPr>
              <w:pStyle w:val="Compact"/>
            </w:pPr>
            <w:r>
              <w:t xml:space="preserve">IVR_absdelta (↓)</w:t>
            </w:r>
          </w:p>
        </w:tc>
        <w:tc>
          <w:tcPr/>
          <w:p>
            <w:pPr>
              <w:pStyle w:val="Compact"/>
            </w:pPr>
            <w:r>
              <w:t xml:space="preserve">0.242</w:t>
            </w:r>
          </w:p>
        </w:tc>
        <w:tc>
          <w:tcPr/>
          <w:p>
            <w:pPr>
              <w:pStyle w:val="Compact"/>
            </w:pPr>
            <w:r>
              <w:t xml:space="preserve">0.126</w:t>
            </w:r>
          </w:p>
        </w:tc>
        <w:tc>
          <w:tcPr/>
          <w:p>
            <w:pPr>
              <w:pStyle w:val="Compact"/>
            </w:pPr>
            <w:r>
              <w:rPr>
                <w:b/>
                <w:bCs/>
              </w:rPr>
              <w:t xml:space="preserve">0.071</w:t>
            </w:r>
          </w:p>
        </w:tc>
      </w:tr>
      <w:tr>
        <w:tc>
          <w:tcPr/>
          <w:p>
            <w:pPr>
              <w:pStyle w:val="Compact"/>
            </w:pPr>
            <w:r>
              <w:t xml:space="preserve">SSR_directional (↑)</w:t>
            </w:r>
          </w:p>
        </w:tc>
        <w:tc>
          <w:tcPr/>
          <w:p>
            <w:pPr>
              <w:pStyle w:val="Compact"/>
            </w:pPr>
            <w:r>
              <w:t xml:space="preserve">0.140</w:t>
            </w:r>
          </w:p>
        </w:tc>
        <w:tc>
          <w:tcPr/>
          <w:p>
            <w:pPr>
              <w:pStyle w:val="Compact"/>
            </w:pPr>
            <w:r>
              <w:t xml:space="preserve">0.420</w:t>
            </w:r>
          </w:p>
        </w:tc>
        <w:tc>
          <w:tcPr/>
          <w:p>
            <w:pPr>
              <w:pStyle w:val="Compact"/>
            </w:pPr>
            <w:r>
              <w:rPr>
                <w:b/>
                <w:bCs/>
              </w:rPr>
              <w:t xml:space="preserve">0.461</w:t>
            </w:r>
          </w:p>
        </w:tc>
      </w:tr>
      <w:tr>
        <w:tc>
          <w:tcPr/>
          <w:p>
            <w:pPr>
              <w:pStyle w:val="Compact"/>
            </w:pPr>
            <w:r>
              <w:t xml:space="preserve">ASR_thresholded (↓)</w:t>
            </w:r>
          </w:p>
        </w:tc>
        <w:tc>
          <w:tcPr/>
          <w:p>
            <w:pPr>
              <w:pStyle w:val="Compact"/>
            </w:pPr>
            <w:r>
              <w:t xml:space="preserve">0.188</w:t>
            </w:r>
          </w:p>
        </w:tc>
        <w:tc>
          <w:tcPr/>
          <w:p>
            <w:pPr>
              <w:pStyle w:val="Compact"/>
            </w:pPr>
            <w:r>
              <w:rPr>
                <w:b/>
                <w:bCs/>
              </w:rPr>
              <w:t xml:space="preserve">0.067</w:t>
            </w:r>
          </w:p>
        </w:tc>
        <w:tc>
          <w:tcPr/>
          <w:p>
            <w:pPr>
              <w:pStyle w:val="Compact"/>
            </w:pPr>
            <w:r>
              <w:t xml:space="preserve">0.118</w:t>
            </w:r>
          </w:p>
        </w:tc>
      </w:tr>
    </w:tbl>
    <w:p>
      <w:pPr>
        <w:pStyle w:val="BodyText"/>
      </w:pPr>
      <w:r>
        <w:rPr>
          <w:b/>
          <w:bCs/>
        </w:rPr>
        <w:t xml:space="preserve">Finding 1: LLM graders are more robust to surface variation.</w:t>
      </w:r>
      <w:r>
        <w:t xml:space="preserve"> </w:t>
      </w:r>
      <w:r>
        <w:t>GPT-5.4 mini Level 0 achieves IVR_flip of 0.243 versus 0.337 for the HybridGrader under Protocol A (a 28% relative reduction). With the reference answer available (Level 1) invariance violations fall to 0.134, a 60% reduction over the HybridGrader baseline. The reference acts as a semantic anchor against which meaning-preserving variations are recognised.</w:t>
      </w:r>
    </w:p>
    <w:p>
      <w:pPr>
        <w:pStyle w:val="BodyText"/>
      </w:pPr>
      <w:r>
        <w:rPr>
          <w:b/>
          <w:bCs/>
        </w:rPr>
        <w:t xml:space="preserve">Finding 2: LLM graders detect meaning-altering perturbations more effectively.</w:t>
      </w:r>
      <w:r>
        <w:t xml:space="preserve"> </w:t>
      </w:r>
      <w:r>
        <w:t xml:space="preserve">SSR_directional rises from 0.140 (HybridGrader) to 0.420 (L0) and 0.461 (L1), an approximately threefold improvement. The HybridGrader misses 86% of negations, deletions and contradictions; the LLM at L1 misses 54%. Adding the reference answer provides only a modest additional gain (+4 pp), indicating that most of the LLM’s sensitivity advantage comes from semantic processing rather than from a comparison target.</w:t>
      </w:r>
    </w:p>
    <w:p>
      <w:pPr>
        <w:pStyle w:val="BodyText"/>
      </w:pPr>
      <w:r>
        <w:rPr>
          <w:b/>
          <w:bCs/>
        </w:rPr>
        <w:t xml:space="preserve">Finding 3: Reference-answer availability introduces a non-obvious gaming trade-off.</w:t>
      </w:r>
      <w:r>
        <w:t xml:space="preserve"> </w:t>
      </w:r>
      <w:r>
        <w:t>Providing the reference answer (Level 1) increases gaming susceptibility by 76% relative to Level 0 (ASR 0.118 vs 0.067). The mechanism is straightforward: the prompt instructs the model to compare the student answer against the reference, so any token overlap with the reference becomes evidence of correctness. When a gaming perturbation injects keywords drawn from the reference into a wrong response, the model registers those keywords as partial understanding. The reference answer acts as a checklist that an adversarial student can copy from. Level 0, lacking this anchor, must judge the answer on its overall coherence and is correspondingly harder to game with surface-level keyword injection.</w:t>
      </w:r>
    </w:p>
    <w:p>
      <w:pPr>
        <w:pStyle w:val="BodyText"/>
      </w:pPr>
      <w:r>
        <w:rPr>
          <w:b/>
          <w:bCs/>
        </w:rPr>
        <w:t xml:space="preserve">Finding 4: Multi-metric evaluation reveals trade-offs invisible to any single metric.</w:t>
      </w:r>
      <w:r>
        <w:t xml:space="preserve"> </w:t>
      </w:r>
      <w:r>
        <w:t>No metric in isolation tells the full story. On invariance alone, Level 1 dominates Level 0; on gaming alone, Level 0 dominates Level 1; on sensitivity alone, the two are comparable. The same point applies to the trained baseline: under Protocol B its IVR_flip of 0.179 looks reasonable, but SSR_directional of 0.120 reveals that this stability partly reflects indiscrimination: the grader rarely changes its score even when it should. Trade-offs of this kind are only visible through joint evaluation across distinct validity threats.</w:t>
      </w:r>
    </w:p>
    <w:bookmarkEnd w:id="49"/>
    <w:bookmarkStart w:id="50" w:name="score-distribution-effects"/>
    <w:p>
      <w:pPr>
        <w:pStyle w:val="Heading3"/>
      </w:pPr>
      <w:r>
        <w:t xml:space="preserve">5.3 Score Distribution Effects</w:t>
      </w:r>
    </w:p>
    <w:p>
      <w:pPr>
        <w:pStyle w:val="FirstParagraph"/>
      </w:pPr>
      <w:r>
        <w:t>To rule out the possibility that the LLM’s lower IVR is an artefact of score compression rather than genuine robustness, we examined the LLM’s label distribution. At Level 0, GPT-5.4 mini exhibits a conservative scoring pattern: 54.3% of answers receive the partially_correct_incomplete label (score 0.5), compared to 23.1% in the gold distribution. This compression toward the midpoint mechanically reduces IVR, since scores at 0.5 have less room to flip to a different value. At Level 1, the distribution becomes substantially more discriminative (closer to the gold distribution) yet IVR_flip continues to fall (0.243 → 0.134). This rules out the score-compression explanation: the LLM’s invariance robustness reflects genuine semantic stability, not statistical artefact.</w:t>
      </w:r>
    </w:p>
    <w:p>
      <w:pPr>
        <w:pStyle w:val="BodyText"/>
      </w:pPr>
      <w:r>
        <w:t xml:space="preserve">A symmetric artefact affects SSR_directional: answers already scored 0.0 cannot decrease further under sensitivity perturbations, mechanically producing SSR = 0% on those pairs regardless of grader quality. We term this the floor effect. Table 3 reports SSR with and without floor-affected pairs.</w:t>
      </w:r>
    </w:p>
    <w:p>
      <w:pPr>
        <w:pStyle w:val="BodyText"/>
      </w:pPr>
      <w:r>
        <w:rPr>
          <w:b/>
          <w:bCs/>
        </w:rPr>
        <w:t xml:space="preserve">Table 3. SSR floor-effect analysis: overall vs. restricted to answers with original score &gt; 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Pairs</w:t>
            </w:r>
          </w:p>
        </w:tc>
        <w:tc>
          <w:tcPr/>
          <w:p>
            <w:pPr>
              <w:pStyle w:val="Compact"/>
            </w:pPr>
            <w:r>
              <w:t xml:space="preserve">Floor pairs (orig=0)</w:t>
            </w:r>
          </w:p>
        </w:tc>
        <w:tc>
          <w:tcPr/>
          <w:p>
            <w:pPr>
              <w:pStyle w:val="Compact"/>
            </w:pPr>
            <w:r>
              <w:t xml:space="preserve">SSR overall</w:t>
            </w:r>
          </w:p>
        </w:tc>
        <w:tc>
          <w:tcPr/>
          <w:p>
            <w:pPr>
              <w:pStyle w:val="Compact"/>
            </w:pPr>
            <w:r>
              <w:t xml:space="preserve">SSR non-floor (orig&gt;0)</w:t>
            </w:r>
          </w:p>
        </w:tc>
        <w:tc>
          <w:tcPr/>
          <w:p>
            <w:pPr>
              <w:pStyle w:val="Compact"/>
            </w:pPr>
            <w:r>
              <w:t xml:space="preserve">Delta</w:t>
            </w:r>
          </w:p>
        </w:tc>
      </w:tr>
      <w:tr>
        <w:tc>
          <w:tcPr/>
          <w:p>
            <w:pPr>
              <w:pStyle w:val="Compact"/>
            </w:pPr>
            <w:r>
              <w:t xml:space="preserve">GPT-5.4 mini L0</w:t>
            </w:r>
          </w:p>
        </w:tc>
        <w:tc>
          <w:tcPr/>
          <w:p>
            <w:pPr>
              <w:pStyle w:val="Compact"/>
            </w:pPr>
            <w:r>
              <w:t xml:space="preserve">13,155</w:t>
            </w:r>
          </w:p>
        </w:tc>
        <w:tc>
          <w:tcPr/>
          <w:p>
            <w:pPr>
              <w:pStyle w:val="Compact"/>
            </w:pPr>
            <w:r>
              <w:t xml:space="preserve">3,012 (22.9%)</w:t>
            </w:r>
          </w:p>
        </w:tc>
        <w:tc>
          <w:tcPr/>
          <w:p>
            <w:pPr>
              <w:pStyle w:val="Compact"/>
            </w:pPr>
            <w:r>
              <w:t xml:space="preserve">0.423</w:t>
            </w:r>
          </w:p>
        </w:tc>
        <w:tc>
          <w:tcPr/>
          <w:p>
            <w:pPr>
              <w:pStyle w:val="Compact"/>
            </w:pPr>
            <w:r>
              <w:rPr>
                <w:b/>
                <w:bCs/>
              </w:rPr>
              <w:t xml:space="preserve">0.549</w:t>
            </w:r>
          </w:p>
        </w:tc>
        <w:tc>
          <w:tcPr/>
          <w:p>
            <w:pPr>
              <w:pStyle w:val="Compact"/>
            </w:pPr>
            <w:r>
              <w:t xml:space="preserve">+12.6 pp</w:t>
            </w:r>
          </w:p>
        </w:tc>
      </w:tr>
      <w:tr>
        <w:tc>
          <w:tcPr/>
          <w:p>
            <w:pPr>
              <w:pStyle w:val="Compact"/>
            </w:pPr>
            <w:r>
              <w:t xml:space="preserve">GPT-5.4 mini L1</w:t>
            </w:r>
          </w:p>
        </w:tc>
        <w:tc>
          <w:tcPr/>
          <w:p>
            <w:pPr>
              <w:pStyle w:val="Compact"/>
            </w:pPr>
            <w:r>
              <w:t xml:space="preserve">12,309</w:t>
            </w:r>
          </w:p>
        </w:tc>
        <w:tc>
          <w:tcPr/>
          <w:p>
            <w:pPr>
              <w:pStyle w:val="Compact"/>
            </w:pPr>
            <w:r>
              <w:t xml:space="preserve">4,219 (34.3%)</w:t>
            </w:r>
          </w:p>
        </w:tc>
        <w:tc>
          <w:tcPr/>
          <w:p>
            <w:pPr>
              <w:pStyle w:val="Compact"/>
            </w:pPr>
            <w:r>
              <w:t xml:space="preserve">0.480</w:t>
            </w:r>
          </w:p>
        </w:tc>
        <w:tc>
          <w:tcPr/>
          <w:p>
            <w:pPr>
              <w:pStyle w:val="Compact"/>
            </w:pPr>
            <w:r>
              <w:rPr>
                <w:b/>
                <w:bCs/>
              </w:rPr>
              <w:t xml:space="preserve">0.731</w:t>
            </w:r>
          </w:p>
        </w:tc>
        <w:tc>
          <w:tcPr/>
          <w:p>
            <w:pPr>
              <w:pStyle w:val="Compact"/>
            </w:pPr>
            <w:r>
              <w:t xml:space="preserve">+25.0 pp</w:t>
            </w:r>
          </w:p>
        </w:tc>
      </w:tr>
    </w:tbl>
    <w:p>
      <w:pPr>
        <w:pStyle w:val="BodyText"/>
      </w:pPr>
      <w:r>
        <w:t xml:space="preserve">The floor effect is larger for Level 1 because the reference answer makes the grader more discriminative, increasing the proportion of untestable pairs. After correction Level 1 detects 73.1% of meaning-altering perturbations on testable pairs, against 48.0% uncorrected.</w:t>
      </w:r>
    </w:p>
    <w:bookmarkEnd w:id="50"/>
    <w:bookmarkStart w:id="51" w:name="sensitivity-blindness-gradient"/>
    <w:p>
      <w:pPr>
        <w:pStyle w:val="Heading3"/>
      </w:pPr>
      <w:r>
        <w:t xml:space="preserve">5.4 Sensitivity Blindness Gradient</w:t>
      </w:r>
    </w:p>
    <w:p>
      <w:pPr>
        <w:pStyle w:val="FirstParagraph"/>
      </w:pPr>
      <w:r>
        <w:t xml:space="preserve">Disaggregating SSR by perturbation type reveals that the LLM’s sensitivity failures are not uniform but follow a stable hierarchy (Figure 1b, Table 4): the grader is blindest to deletions, intermediate on negations, and least blind on outright contradictions. The pattern holds for both prompting levels.</w:t>
      </w:r>
    </w:p>
    <w:p>
      <w:pPr>
        <w:pStyle w:val="BodyText"/>
      </w:pPr>
      <w:r>
        <w:rPr>
          <w:b/>
          <w:bCs/>
        </w:rPr>
        <w:t xml:space="preserve">Table 4. Per-type miss rates (% same-score pairs) with 95% bootstrap CI (10k resamples).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Grader</w:t>
            </w:r>
          </w:p>
        </w:tc>
        <w:tc>
          <w:tcPr/>
          <w:p>
            <w:pPr>
              <w:pStyle w:val="Compact"/>
            </w:pPr>
            <w:r>
              <w:t xml:space="preserve">Deletion</w:t>
            </w:r>
          </w:p>
        </w:tc>
        <w:tc>
          <w:tcPr/>
          <w:p>
            <w:pPr>
              <w:pStyle w:val="Compact"/>
            </w:pPr>
            <w:r>
              <w:t xml:space="preserve">Negation</w:t>
            </w:r>
          </w:p>
        </w:tc>
        <w:tc>
          <w:tcPr/>
          <w:p>
            <w:pPr>
              <w:pStyle w:val="Compact"/>
            </w:pPr>
            <w:r>
              <w:t xml:space="preserve">Contradiction</w:t>
            </w:r>
          </w:p>
        </w:tc>
      </w:tr>
      <w:tr>
        <w:tc>
          <w:tcPr/>
          <w:p>
            <w:pPr>
              <w:pStyle w:val="Compact"/>
            </w:pPr>
            <w:r>
              <w:t xml:space="preserve">L0</w:t>
            </w:r>
          </w:p>
        </w:tc>
        <w:tc>
          <w:tcPr/>
          <w:p>
            <w:pPr>
              <w:pStyle w:val="Compact"/>
            </w:pPr>
            <w:r>
              <w:t xml:space="preserve">68.7 [67.4, 70.0]</w:t>
            </w:r>
          </w:p>
        </w:tc>
        <w:tc>
          <w:tcPr/>
          <w:p>
            <w:pPr>
              <w:pStyle w:val="Compact"/>
            </w:pPr>
            <w:r>
              <w:t xml:space="preserve">52.2 [50.8, 53.5]</w:t>
            </w:r>
          </w:p>
        </w:tc>
        <w:tc>
          <w:tcPr/>
          <w:p>
            <w:pPr>
              <w:pStyle w:val="Compact"/>
            </w:pPr>
            <w:r>
              <w:t xml:space="preserve">43.0 [41.7, 44.3]</w:t>
            </w:r>
          </w:p>
        </w:tc>
      </w:tr>
      <w:tr>
        <w:tc>
          <w:tcPr/>
          <w:p>
            <w:pPr>
              <w:pStyle w:val="Compact"/>
            </w:pPr>
            <w:r>
              <w:t xml:space="preserve">L1</w:t>
            </w:r>
          </w:p>
        </w:tc>
        <w:tc>
          <w:tcPr/>
          <w:p>
            <w:pPr>
              <w:pStyle w:val="Compact"/>
            </w:pPr>
            <w:r>
              <w:t xml:space="preserve">74.8 [73.6, 76.0]</w:t>
            </w:r>
          </w:p>
        </w:tc>
        <w:tc>
          <w:tcPr/>
          <w:p>
            <w:pPr>
              <w:pStyle w:val="Compact"/>
            </w:pPr>
            <w:r>
              <w:t xml:space="preserve">41.8 [40.5, 43.2]</w:t>
            </w:r>
          </w:p>
        </w:tc>
        <w:tc>
          <w:tcPr/>
          <w:p>
            <w:pPr>
              <w:pStyle w:val="Compact"/>
            </w:pPr>
            <w:r>
              <w:t xml:space="preserve">39.6 [38.3, 40.9]</w:t>
            </w:r>
          </w:p>
        </w:tc>
      </w:tr>
    </w:tbl>
    <w:p>
      <w:pPr>
        <w:pStyle w:val="BodyText"/>
      </w:pPr>
      <w:r>
        <w:t>Pairwise McNemar tests confirm the gradient is significant (all six within-grader comparisons p &lt; 0.001). An unexpected side-effect emerges between graders: adding the reference answer (L1) reduces the miss rate on negation (−10 pp) and contradiction (−3 pp) but</w:t>
      </w:r>
      <w:r>
        <w:t xml:space="preserve"> </w:t>
      </w:r>
      <w:r>
        <w:rPr>
          <w:b/>
          <w:bCs/>
        </w:rPr>
        <w:t xml:space="preserve">increases</w:t>
      </w:r>
      <w:r>
        <w:t xml:space="preserve"> </w:t>
      </w:r>
      <w:r>
        <w:t>it on deletion (+6 pp), a paradox confirmed by paired McNemar on the same answer set (b = 745, c = 1050, χ² = 51, p &lt; 0.0001).</w:t>
      </w:r>
    </w:p>
    <w:p>
      <w:pPr>
        <w:pStyle w:val="BodyText"/>
      </w:pPr>
      <w:r>
        <w:t xml:space="preserve">Miss rates include floor pairs (Section 5.3); floor adjustment lowers all three uniformly without changing the ordering. Even at the bottom (~40% on contradiction in L1) the failure rate is a substantive deployment risk.</w:t>
      </w:r>
    </w:p>
    <w:p>
      <w:pPr>
        <w:pStyle w:val="BodyText"/>
      </w:pPr>
      <w:r>
        <w:t xml:space="preserve">A manual review of 30 random missed deletions characterises the mechanism. Of 17 cases involving deletion of a domain concept (terminal, battery, circuit, voltage, open/closed), 16 (94%) materially degraded or inverted answer meaning, while the 3 connective deletions (</w:t>
      </w:r>
      <w:r>
        <w:t xml:space="preserve">“because”</w:t>
      </w:r>
      <w:r>
        <w:t xml:space="preserve">,</w:t>
      </w:r>
      <w:r>
        <w:t xml:space="preserve"> </w:t>
      </w:r>
      <w:r>
        <w:t xml:space="preserve">“between”</w:t>
      </w:r>
      <w:r>
        <w:t xml:space="preserve">) were correctly tolerated as benign. The grader is not forgiving grammatical noise; it systematically fails on content-bearing words. A representative inverted case:</w:t>
      </w:r>
      <w:r>
        <w:t xml:space="preserve"> </w:t>
      </w:r>
      <w:r>
        <w:t xml:space="preserve">“the battery is in</w:t>
      </w:r>
      <w:r>
        <w:t xml:space="preserve"> </w:t>
      </w:r>
      <w:r>
        <w:rPr>
          <w:i/>
          <w:iCs/>
        </w:rPr>
        <w:t xml:space="preserve">a closed path</w:t>
      </w:r>
      <w:r>
        <w:t xml:space="preserve">”</w:t>
      </w:r>
      <w:r>
        <w:t xml:space="preserve"> </w:t>
      </w:r>
      <w:r>
        <w:t xml:space="preserve">→</w:t>
      </w:r>
      <w:r>
        <w:t xml:space="preserve"> </w:t>
      </w:r>
      <w:r>
        <w:t xml:space="preserve">“the battery is in</w:t>
      </w:r>
      <w:r>
        <w:t xml:space="preserve"> </w:t>
      </w:r>
      <w:r>
        <w:rPr>
          <w:i/>
          <w:iCs/>
        </w:rPr>
        <w:t xml:space="preserve">a path</w:t>
      </w:r>
      <w:r>
        <w:t xml:space="preserve">”</w:t>
      </w:r>
      <w:r>
        <w:t xml:space="preserve"> </w:t>
      </w:r>
      <w:r>
        <w:t xml:space="preserve">(gold = correct, score 1.0 → 1.0). The closed/open distinction is the central conceptual axis of Beetle; the L1 grader treats the two versions as equivalent.</w:t>
      </w:r>
    </w:p>
    <w:p>
      <w:r>
        <w:pict>
          <v:rect style="width:0;height:1.5pt" o:hralign="center" o:hrstd="t" o:hr="t"/>
        </w:pict>
      </w:r>
    </w:p>
    <w:bookmarkEnd w:id="51"/>
    <w:bookmarkEnd w:id="52"/>
    <w:bookmarkStart w:id="58" w:name="discussion"/>
    <w:p>
      <w:pPr>
        <w:pStyle w:val="Heading2"/>
      </w:pPr>
      <w:r>
        <w:t xml:space="preserve">6 Discussion</w:t>
      </w:r>
    </w:p>
    <w:bookmarkStart w:id="53" w:name="the-overestimation-problem"/>
    <w:p>
      <w:pPr>
        <w:pStyle w:val="Heading3"/>
      </w:pPr>
      <w:r>
        <w:t xml:space="preserve">6.1 The Overestimation Problem</w:t>
      </w:r>
    </w:p>
    <w:p>
      <w:pPr>
        <w:pStyle w:val="FirstParagraph"/>
      </w:pPr>
      <w:r>
        <w:t>The most consequential methodological finding is that within-question evaluations overestimate the robustness of trained ASAG graders. The HybridGrader’s IVR_flip nearly doubles between Protocol B and A, and its gaming susceptibility rises by 64%, large effects that translate directly into deployment surprise. We recommend that published ASAG evaluations include cross-question results alongside in-distribution ones, and report the difference explicitly as a robustness drop.</w:t>
      </w:r>
    </w:p>
    <w:bookmarkEnd w:id="53"/>
    <w:bookmarkStart w:id="54" w:name="why-llms-are-more-robust"/>
    <w:p>
      <w:pPr>
        <w:pStyle w:val="Heading3"/>
      </w:pPr>
      <w:r>
        <w:t xml:space="preserve">6.2 Why LLMs Are More Robust</w:t>
      </w:r>
    </w:p>
    <w:p>
      <w:pPr>
        <w:pStyle w:val="FirstParagraph"/>
      </w:pPr>
      <w:r>
        <w:t xml:space="preserve">The LLM advantage on invariance and sensitivity reflects semantic processing in ways feature-based scoring cannot match. The HybridGrader relies on lexical overlap that shifts with surface form; the LLM processes the answer as language. A negation, deletion or antonym leaves surface features intact while shifting meaning, defeating feature-based scoring and remaining (partially) visible to a semantic processor. Residual weaknesses are characterised in Section 5.4.</w:t>
      </w:r>
    </w:p>
    <w:bookmarkEnd w:id="54"/>
    <w:bookmarkStart w:id="55" w:name="the-reference-answer-trade-off"/>
    <w:p>
      <w:pPr>
        <w:pStyle w:val="Heading3"/>
      </w:pPr>
      <w:r>
        <w:t xml:space="preserve">6.3 The Reference-Answer Trade-Off</w:t>
      </w:r>
    </w:p>
    <w:p>
      <w:pPr>
        <w:pStyle w:val="FirstParagraph"/>
      </w:pPr>
      <w:r>
        <w:t xml:space="preserve">Adding the reference answer is the kind of intervention practitioners expect to improve grading uniformly. It does for invariance and sensitivity, but for gaming it nearly doubles vulnerability. The mechanism generalises beyond our prompt: when the model compares the student answer against a reference, any overlap becomes evidence of correctness, which an adversarial student can exploit.</w:t>
      </w:r>
    </w:p>
    <w:p>
      <w:pPr>
        <w:pStyle w:val="BodyText"/>
      </w:pPr>
      <w:r>
        <w:t>The same checklist mechanism plausibly explains the L1 deletion paradox of Section 5.4. When a domain concept is deleted, the reference has no token to compare against for the missing word while the surrounding tokens still match: the grader reads continued overlap as continued correctness and tolerates the omission. Reference-anchored prompting therefore fails on the same axis on which it succeeds: token-level matching helps detect substitutions and negations but cannot detect what is no longer present to be matched. Prompt engineering or coherence-first instructions could mitigate both gaming vulnerability and deletion blindness; the broader point is that the trade-offs exist and are invisible to single-metric evaluation.</w:t>
      </w:r>
    </w:p>
    <w:bookmarkEnd w:id="55"/>
    <w:bookmarkStart w:id="56" w:name="practitioner-implications"/>
    <w:p>
      <w:pPr>
        <w:pStyle w:val="Heading3"/>
      </w:pPr>
      <w:r>
        <w:t xml:space="preserve">6.4 Practitioner Implications</w:t>
      </w:r>
    </w:p>
    <w:p>
      <w:pPr>
        <w:pStyle w:val="FirstParagraph"/>
      </w:pPr>
      <w:r>
        <w:t xml:space="preserve">Three implications for ASAG deployment: (i) run perturbation evaluation across the three validity dimensions before going live; (ii) compare prompting strategies on all dimensions, since accuracy gains can mask gaming exposure; (iii) treat cross-question performance, not within-question, as the realistic deployment baseline. Robustness sits alongside fairness as a precondition for responsible automated scoring (Loukina et al., 2019).</w:t>
      </w:r>
    </w:p>
    <w:bookmarkEnd w:id="56"/>
    <w:bookmarkStart w:id="57" w:name="limitations"/>
    <w:p>
      <w:pPr>
        <w:pStyle w:val="Heading3"/>
      </w:pPr>
      <w:r>
        <w:t xml:space="preserve">6.5 Limitations</w:t>
      </w:r>
    </w:p>
    <w:p>
      <w:pPr>
        <w:pStyle w:val="FirstParagraph"/>
      </w:pPr>
      <w:r>
        <w:t xml:space="preserve">Four limitations bound generality. (i) Single dataset (Beetle) covering one science domain; extension to other ASAG corpora is future work. (ii) The corpus lacks structured per-question rubrics, so L0 vs L1 prompting is a contrastive proxy for additional grading information. (iii) Single LLM (GPT-5.4 mini); cross-vendor and frontier comparisons are future work. (iv) Perturbations are rule-based; human validation with inter-annotator agreement is left for the journal extension.</w:t>
      </w:r>
    </w:p>
    <w:p>
      <w:r>
        <w:pict>
          <v:rect style="width:0;height:1.5pt" o:hralign="center" o:hrstd="t" o:hr="t"/>
        </w:pict>
      </w:r>
    </w:p>
    <w:bookmarkEnd w:id="57"/>
    <w:bookmarkEnd w:id="58"/>
    <w:bookmarkStart w:id="59" w:name="conclusions"/>
    <w:p>
      <w:pPr>
        <w:pStyle w:val="Heading2"/>
      </w:pPr>
      <w:r>
        <w:t xml:space="preserve">7 Conclusions</w:t>
      </w:r>
    </w:p>
    <w:p>
      <w:pPr>
        <w:pStyle w:val="FirstParagraph"/>
      </w:pPr>
      <w:r>
        <w:t xml:space="preserve">We presented a perturbation-first evaluation framework for ASAG that quantifies robustness along three validity dimensions from Messick’s taxonomy: invariance, sensitivity, and gaming. The framework combines seven rule-based generators, two-gate quality validation, four self-referential metrics, and a dual-protocol design that quantifies how trained graders degrade under cross-question generalisation.</w:t>
      </w:r>
    </w:p>
    <w:p>
      <w:pPr>
        <w:pStyle w:val="BodyText"/>
      </w:pPr>
      <w:r>
        <w:t>Applied to the SemEval 2013 Beetle corpus, three findings emerge. (i) A trained ML baseline exhibits a substantial robustness drop under cross-question evaluation (+15.8 pp IVR_flip; +7.4 pp ASR): within-question benchmarks systematically overestimate operational reliability. (ii) A zero-shot LLM grader is markedly more robust on invariance and sensitivity, and less vulnerable to gaming. (iii) Adding the reference answer trades a 45% reduction in invariance violations for a 76% increase in gaming susceptibility, a trade-off invisible to any single metric. The broader claim is that robustness should be evaluated alongside accuracy as a first-class quality dimension for any ASAG system intended for high-stakes use, and that the evaluation should be multi-dimensional and grounded in validity theory.</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Burrows, S., Gurevych, I. and Stein, B. (2015)</w:t>
      </w:r>
      <w:r>
        <w:t xml:space="preserve"> </w:t>
      </w:r>
      <w:r>
        <w:t xml:space="preserve">‘The eras and trends of automatic short answer grading’</w:t>
      </w:r>
      <w:r>
        <w:t xml:space="preserve">,</w:t>
      </w:r>
      <w:r>
        <w:t xml:space="preserve"> </w:t>
      </w:r>
      <w:r>
        <w:rPr>
          <w:i/>
          <w:iCs/>
        </w:rPr>
        <w:t xml:space="preserve">International Journal of Artificial Intelligence in Education</w:t>
      </w:r>
      <w:r>
        <w:t xml:space="preserve">, 25(1), pp. 60–117.</w:t>
      </w:r>
    </w:p>
    <w:p>
      <w:pPr>
        <w:pStyle w:val="BodyText"/>
      </w:pPr>
      <w:r>
        <w:t xml:space="preserve">Condor, A., Litster, M. and Pardos, Z. (2021)</w:t>
      </w:r>
      <w:r>
        <w:t xml:space="preserve"> </w:t>
      </w:r>
      <w:r>
        <w:t xml:space="preserve">‘Automatic short answer grading with SBERT on out-of-sample questions’</w:t>
      </w:r>
      <w:r>
        <w:t xml:space="preserve">, in</w:t>
      </w:r>
      <w:r>
        <w:t xml:space="preserve"> </w:t>
      </w:r>
      <w:r>
        <w:rPr>
          <w:i/>
          <w:iCs/>
        </w:rPr>
        <w:t xml:space="preserve">Proceedings of the 14th International Conference on Educational Data Mining (EDM 2021)</w:t>
      </w:r>
      <w:r>
        <w:t xml:space="preserve">. International Educational Data Mining Society, pp. 376–382.</w:t>
      </w:r>
    </w:p>
    <w:p>
      <w:pPr>
        <w:pStyle w:val="BodyText"/>
      </w:pPr>
      <w:r>
        <w:t xml:space="preserve">Deane, P. (2013)</w:t>
      </w:r>
      <w:r>
        <w:t xml:space="preserve"> </w:t>
      </w:r>
      <w:r>
        <w:t xml:space="preserve">‘On the relation between automated essay scoring and modern views of the writing construct’</w:t>
      </w:r>
      <w:r>
        <w:t xml:space="preserve">,</w:t>
      </w:r>
      <w:r>
        <w:t xml:space="preserve"> </w:t>
      </w:r>
      <w:r>
        <w:rPr>
          <w:i/>
          <w:iCs/>
        </w:rPr>
        <w:t xml:space="preserve">Assessing Writing</w:t>
      </w:r>
      <w:r>
        <w:t xml:space="preserve">, 18(1), pp. 7–24.</w:t>
      </w:r>
    </w:p>
    <w:p>
      <w:pPr>
        <w:pStyle w:val="BodyText"/>
      </w:pPr>
      <w:r>
        <w:t xml:space="preserve">Ding, Y., Riordan, B., Horbach, A., Cahill, A. and Zesch, T. (2020)</w:t>
      </w:r>
      <w:r>
        <w:t xml:space="preserve"> </w:t>
      </w:r>
      <w:r>
        <w:t xml:space="preserve">‘Don’t take</w:t>
      </w:r>
      <w:r>
        <w:t xml:space="preserve"> </w:t>
      </w:r>
      <w:r>
        <w:t xml:space="preserve">“nswvtnvakgxpm”</w:t>
      </w:r>
      <w:r>
        <w:t xml:space="preserve"> </w:t>
      </w:r>
      <w:r>
        <w:t xml:space="preserve">for an answer — The surprising vulnerability of automatic content scoring systems to adversarial input’</w:t>
      </w:r>
      <w:r>
        <w:t xml:space="preserve">, in</w:t>
      </w:r>
      <w:r>
        <w:t xml:space="preserve"> </w:t>
      </w:r>
      <w:r>
        <w:rPr>
          <w:i/>
          <w:iCs/>
        </w:rPr>
        <w:t xml:space="preserve">Proceedings of the 28th International Conference on Computational Linguistics (COLING 2020)</w:t>
      </w:r>
      <w:r>
        <w:t xml:space="preserve">. Barcelona, pp. 882–892.</w:t>
      </w:r>
    </w:p>
    <w:p>
      <w:pPr>
        <w:pStyle w:val="BodyText"/>
      </w:pPr>
      <w:r>
        <w:t xml:space="preserve">Dzikovska, M., Nielsen, R., Brew, C., Leacock, C., Giampiccolo, D., Bentivogli, L., Clark, P., Dagan, I. and Dang, H.T. (2013)</w:t>
      </w:r>
      <w:r>
        <w:t xml:space="preserve"> </w:t>
      </w:r>
      <w:r>
        <w:t xml:space="preserve">‘SemEval-2013 Task 7: The joint student response analysis and 8th recognizing textual entailment challenge’</w:t>
      </w:r>
      <w:r>
        <w:t xml:space="preserve">, in</w:t>
      </w:r>
      <w:r>
        <w:t xml:space="preserve"> </w:t>
      </w:r>
      <w:r>
        <w:rPr>
          <w:i/>
          <w:iCs/>
        </w:rPr>
        <w:t xml:space="preserve">Proceedings of the 7th International Workshop on Semantic Evaluation (SemEval 2013)</w:t>
      </w:r>
      <w:r>
        <w:t xml:space="preserve">. Association for Computational Linguistics, pp. 263–274.</w:t>
      </w:r>
    </w:p>
    <w:p>
      <w:pPr>
        <w:pStyle w:val="BodyText"/>
      </w:pPr>
      <w:r>
        <w:t xml:space="preserve">Ferrara, S. and Qunbar, S. (2022)</w:t>
      </w:r>
      <w:r>
        <w:t xml:space="preserve"> </w:t>
      </w:r>
      <w:r>
        <w:t xml:space="preserve">‘Validity arguments for AI-based automated scores: essay scoring as an illustration’</w:t>
      </w:r>
      <w:r>
        <w:t xml:space="preserve">,</w:t>
      </w:r>
      <w:r>
        <w:t xml:space="preserve"> </w:t>
      </w:r>
      <w:r>
        <w:rPr>
          <w:i/>
          <w:iCs/>
        </w:rPr>
        <w:t xml:space="preserve">Journal of Educational Measurement</w:t>
      </w:r>
      <w:r>
        <w:t xml:space="preserve">, 59(3), pp. 288–313.</w:t>
      </w:r>
    </w:p>
    <w:p>
      <w:pPr>
        <w:pStyle w:val="BodyText"/>
      </w:pPr>
      <w:r>
        <w:t xml:space="preserve">Filighera, A., Ochs, S., Steuer, T. and Tregel, T. (2024)</w:t>
      </w:r>
      <w:r>
        <w:t xml:space="preserve"> </w:t>
      </w:r>
      <w:r>
        <w:t xml:space="preserve">‘Cheating automatic short answer grading with the adversarial usage of adjectives and adverbs’</w:t>
      </w:r>
      <w:r>
        <w:t xml:space="preserve">,</w:t>
      </w:r>
      <w:r>
        <w:t xml:space="preserve"> </w:t>
      </w:r>
      <w:r>
        <w:rPr>
          <w:i/>
          <w:iCs/>
        </w:rPr>
        <w:t xml:space="preserve">International Journal of Artificial Intelligence in Education</w:t>
      </w:r>
      <w:r>
        <w:t xml:space="preserve">, 34(2), pp. 616–646.</w:t>
      </w:r>
    </w:p>
    <w:p>
      <w:pPr>
        <w:pStyle w:val="BodyText"/>
      </w:pPr>
      <w:r>
        <w:t xml:space="preserve">Heilman, M. and Madnani, N. (2015)</w:t>
      </w:r>
      <w:r>
        <w:t xml:space="preserve"> </w:t>
      </w:r>
      <w:r>
        <w:t xml:space="preserve">‘The impact of training data on automated short answer scoring performance’</w:t>
      </w:r>
      <w:r>
        <w:t xml:space="preserve">, in</w:t>
      </w:r>
      <w:r>
        <w:t xml:space="preserve"> </w:t>
      </w:r>
      <w:r>
        <w:rPr>
          <w:i/>
          <w:iCs/>
        </w:rPr>
        <w:t xml:space="preserve">Proceedings of the 10th Workshop on Innovative Use of NLP for Building Educational Applications (BEA 2015)</w:t>
      </w:r>
      <w:r>
        <w:t xml:space="preserve">. Denver: Association for Computational Linguistics, pp. 81–85.</w:t>
      </w:r>
    </w:p>
    <w:p>
      <w:pPr>
        <w:pStyle w:val="BodyText"/>
      </w:pPr>
      <w:r>
        <w:t xml:space="preserve">Kane, M.T. (2006)</w:t>
      </w:r>
      <w:r>
        <w:t xml:space="preserve"> </w:t>
      </w:r>
      <w:r>
        <w:t xml:space="preserve">‘Validation’</w:t>
      </w:r>
      <w:r>
        <w:t xml:space="preserve">, in Brennan, R.L. (ed.)</w:t>
      </w:r>
      <w:r>
        <w:t xml:space="preserve"> </w:t>
      </w:r>
      <w:r>
        <w:rPr>
          <w:i/>
          <w:iCs/>
        </w:rPr>
        <w:t xml:space="preserve">Educational Measurement</w:t>
      </w:r>
      <w:r>
        <w:t xml:space="preserve">. 4th edn. Westport, CT: American Council on Education/Praeger, pp. 17–64.</w:t>
      </w:r>
    </w:p>
    <w:p>
      <w:pPr>
        <w:pStyle w:val="BodyText"/>
      </w:pPr>
      <w:r>
        <w:t xml:space="preserve">Kumar, Y., Bhatia, M., Kabra, A., Li, J.J., Jin, D. and Shah, R.R. (2020)</w:t>
      </w:r>
      <w:r>
        <w:t xml:space="preserve"> </w:t>
      </w:r>
      <w:r>
        <w:t xml:space="preserve">‘Calling out bluff: Attacking the robustness of automatic scoring systems with simple adversarial testing’</w:t>
      </w:r>
      <w:r>
        <w:t xml:space="preserve">,</w:t>
      </w:r>
      <w:r>
        <w:t xml:space="preserve"> </w:t>
      </w:r>
      <w:r>
        <w:rPr>
          <w:i/>
          <w:iCs/>
        </w:rPr>
        <w:t xml:space="preserve">arXiv preprint</w:t>
      </w:r>
      <w:r>
        <w:t xml:space="preserve"> </w:t>
      </w:r>
      <w:r>
        <w:t xml:space="preserve">arXiv:2007.06796.</w:t>
      </w:r>
    </w:p>
    <w:p>
      <w:pPr>
        <w:pStyle w:val="BodyText"/>
      </w:pPr>
      <w:r>
        <w:t xml:space="preserve">Latif, E. and Zhai, X. (2024)</w:t>
      </w:r>
      <w:r>
        <w:t xml:space="preserve"> </w:t>
      </w:r>
      <w:r>
        <w:t xml:space="preserve">‘Fine-tuning ChatGPT for automatic scoring’</w:t>
      </w:r>
      <w:r>
        <w:t xml:space="preserve">,</w:t>
      </w:r>
      <w:r>
        <w:t xml:space="preserve"> </w:t>
      </w:r>
      <w:r>
        <w:rPr>
          <w:i/>
          <w:iCs/>
        </w:rPr>
        <w:t xml:space="preserve">Computers and Education: Artificial Intelligence</w:t>
      </w:r>
      <w:r>
        <w:t xml:space="preserve">, 6, p. 100210.</w:t>
      </w:r>
    </w:p>
    <w:p>
      <w:pPr>
        <w:pStyle w:val="BodyText"/>
      </w:pPr>
      <w:r>
        <w:t xml:space="preserve">Loukina, A., Madnani, N. and Cahill, A. (2019)</w:t>
      </w:r>
      <w:r>
        <w:t xml:space="preserve"> </w:t>
      </w:r>
      <w:r>
        <w:t xml:space="preserve">‘The many dimensions of algorithmic fairness in educational applications’</w:t>
      </w:r>
      <w:r>
        <w:t xml:space="preserve">, in</w:t>
      </w:r>
      <w:r>
        <w:t xml:space="preserve"> </w:t>
      </w:r>
      <w:r>
        <w:rPr>
          <w:i/>
          <w:iCs/>
        </w:rPr>
        <w:t xml:space="preserve">Proceedings of the 14th Workshop on Innovative Use of NLP for Building Educational Applications (BEA 2019)</w:t>
      </w:r>
      <w:r>
        <w:t xml:space="preserve">. Florence: Association for Computational Linguistics, pp. 1–10.</w:t>
      </w:r>
    </w:p>
    <w:p>
      <w:pPr>
        <w:pStyle w:val="BodyText"/>
      </w:pPr>
      <w:r>
        <w:t xml:space="preserve">Messick, S. (1989)</w:t>
      </w:r>
      <w:r>
        <w:t xml:space="preserve"> </w:t>
      </w:r>
      <w:r>
        <w:t xml:space="preserve">‘Validity’</w:t>
      </w:r>
      <w:r>
        <w:t xml:space="preserve">, in Linn, R.L. (ed.)</w:t>
      </w:r>
      <w:r>
        <w:t xml:space="preserve"> </w:t>
      </w:r>
      <w:r>
        <w:rPr>
          <w:i/>
          <w:iCs/>
        </w:rPr>
        <w:t xml:space="preserve">Educational Measurement</w:t>
      </w:r>
      <w:r>
        <w:t xml:space="preserve">. 3rd edn. Washington, DC: American Council on Education/Macmillan, pp. 13–103.</w:t>
      </w:r>
    </w:p>
    <w:p>
      <w:pPr>
        <w:pStyle w:val="BodyText"/>
      </w:pPr>
      <w:r>
        <w:t xml:space="preserve">Mizumoto, A. and Eguchi, M. (2023)</w:t>
      </w:r>
      <w:r>
        <w:t xml:space="preserve"> </w:t>
      </w:r>
      <w:r>
        <w:t xml:space="preserve">‘Exploring the potential of using an AI language model for automated essay scoring’</w:t>
      </w:r>
      <w:r>
        <w:t xml:space="preserve">,</w:t>
      </w:r>
      <w:r>
        <w:t xml:space="preserve"> </w:t>
      </w:r>
      <w:r>
        <w:rPr>
          <w:i/>
          <w:iCs/>
        </w:rPr>
        <w:t xml:space="preserve">Research Methods in Applied Linguistics</w:t>
      </w:r>
      <w:r>
        <w:t xml:space="preserve">, 2(2), p. 100050.</w:t>
      </w:r>
    </w:p>
    <w:p>
      <w:pPr>
        <w:pStyle w:val="BodyText"/>
      </w:pPr>
      <w:r>
        <w:t xml:space="preserve">Mohler, M., Bunescu, R. and Mihalcea, R. (2011)</w:t>
      </w:r>
      <w:r>
        <w:t xml:space="preserve"> </w:t>
      </w:r>
      <w:r>
        <w:t xml:space="preserve">‘Learning to grade short answer questions using semantic similarity measures and dependency graph alignments’</w:t>
      </w:r>
      <w:r>
        <w:t xml:space="preserve">, in</w:t>
      </w:r>
      <w:r>
        <w:t xml:space="preserve"> </w:t>
      </w:r>
      <w:r>
        <w:rPr>
          <w:i/>
          <w:iCs/>
        </w:rPr>
        <w:t xml:space="preserve">Proceedings of the 49th Annual Meeting of the Association for Computational Linguistics (ACL 2011)</w:t>
      </w:r>
      <w:r>
        <w:t xml:space="preserve">. Portland, pp. 752–762.</w:t>
      </w:r>
    </w:p>
    <w:p>
      <w:pPr>
        <w:pStyle w:val="BodyText"/>
      </w:pPr>
      <w:r>
        <w:t xml:space="preserve">Naismith, B., Mulcaire, P. and Burstein, J. (2023)</w:t>
      </w:r>
      <w:r>
        <w:t xml:space="preserve"> </w:t>
      </w:r>
      <w:r>
        <w:t xml:space="preserve">‘Automated evaluation of written discourse coherence using GPT-4’</w:t>
      </w:r>
      <w:r>
        <w:t xml:space="preserve">, in</w:t>
      </w:r>
      <w:r>
        <w:t xml:space="preserve"> </w:t>
      </w:r>
      <w:r>
        <w:rPr>
          <w:i/>
          <w:iCs/>
        </w:rPr>
        <w:t xml:space="preserve">Proceedings of the 18th Workshop on Innovative Use of NLP for Building Educational Applications (BEA 2023)</w:t>
      </w:r>
      <w:r>
        <w:t xml:space="preserve">. Toronto, pp. 394–403.</w:t>
      </w:r>
    </w:p>
    <w:p>
      <w:pPr>
        <w:pStyle w:val="BodyText"/>
      </w:pPr>
      <w:r>
        <w:t xml:space="preserve">Reimers, N. and Gurevych, I. (2019)</w:t>
      </w:r>
      <w:r>
        <w:t xml:space="preserve"> </w:t>
      </w:r>
      <w:r>
        <w:t xml:space="preserve">‘Sentence-BERT: Sentence embeddings using Siamese BERT-networks’</w:t>
      </w:r>
      <w:r>
        <w:t xml:space="preserve">, in</w:t>
      </w:r>
      <w:r>
        <w:t xml:space="preserve"> </w:t>
      </w:r>
      <w:r>
        <w:rPr>
          <w:i/>
          <w:iCs/>
        </w:rPr>
        <w:t xml:space="preserve">Proceedings of EMNLP-IJCNLP 2019</w:t>
      </w:r>
      <w:r>
        <w:t xml:space="preserve">. Hong Kong: Association for Computational Linguistics, pp. 3982–3992.</w:t>
      </w:r>
    </w:p>
    <w:p>
      <w:pPr>
        <w:pStyle w:val="BodyText"/>
      </w:pPr>
      <w:r>
        <w:t xml:space="preserve">Ribeiro, M.T., Wu, T., Guestrin, C. and Singh, S. (2020)</w:t>
      </w:r>
      <w:r>
        <w:t xml:space="preserve"> </w:t>
      </w:r>
      <w:r>
        <w:t xml:space="preserve">‘Beyond accuracy: Behavioral testing of NLP models with CheckList’</w:t>
      </w:r>
      <w:r>
        <w:t xml:space="preserve">, in</w:t>
      </w:r>
      <w:r>
        <w:t xml:space="preserve"> </w:t>
      </w:r>
      <w:r>
        <w:rPr>
          <w:i/>
          <w:iCs/>
        </w:rPr>
        <w:t xml:space="preserve">Proceedings of the 58th Annual Meeting of the Association for Computational Linguistics (ACL 2020)</w:t>
      </w:r>
      <w:r>
        <w:t xml:space="preserve">. Association for Computational Linguistics, pp. 4902–4912.</w:t>
      </w:r>
    </w:p>
    <w:p>
      <w:pPr>
        <w:pStyle w:val="BodyText"/>
      </w:pPr>
      <w:r>
        <w:t xml:space="preserve">Riordan, B., Horbach, A., Cahill, A., Zesch, T. and Lee, C.M. (2017)</w:t>
      </w:r>
      <w:r>
        <w:t xml:space="preserve"> </w:t>
      </w:r>
      <w:r>
        <w:t xml:space="preserve">‘Investigating neural architectures for short answer scoring’</w:t>
      </w:r>
      <w:r>
        <w:t xml:space="preserve">, in</w:t>
      </w:r>
      <w:r>
        <w:t xml:space="preserve"> </w:t>
      </w:r>
      <w:r>
        <w:rPr>
          <w:i/>
          <w:iCs/>
        </w:rPr>
        <w:t xml:space="preserve">Proceedings of the 12th Workshop on Innovative Use of NLP for Building Educational Applications (BEA 2017)</w:t>
      </w:r>
      <w:r>
        <w:t xml:space="preserve">. Copenhagen: Association for Computational Linguistics, pp. 159–168.</w:t>
      </w:r>
    </w:p>
    <w:p>
      <w:pPr>
        <w:pStyle w:val="BodyText"/>
      </w:pPr>
      <w:r>
        <w:t xml:space="preserve">Sung, C., Dhamecha, T.I. and Mukhi, N. (2019)</w:t>
      </w:r>
      <w:r>
        <w:t xml:space="preserve"> </w:t>
      </w:r>
      <w:r>
        <w:t xml:space="preserve">‘Pre-training BERT on domain resources for short answer grading’</w:t>
      </w:r>
      <w:r>
        <w:t xml:space="preserve">, in</w:t>
      </w:r>
      <w:r>
        <w:t xml:space="preserve"> </w:t>
      </w:r>
      <w:r>
        <w:rPr>
          <w:i/>
          <w:iCs/>
        </w:rPr>
        <w:t xml:space="preserve">Proceedings of the 20th International Conference on Artificial Intelligence in Education (AIED 2019)</w:t>
      </w:r>
      <w:r>
        <w:t xml:space="preserve">. Lecture Notes in Computer Science, vol. 11625. Cham: Springer, pp. 469–481.</w:t>
      </w:r>
    </w:p>
    <w:p>
      <w:pPr>
        <w:pStyle w:val="BodyText"/>
      </w:pPr>
      <w:r>
        <w:t xml:space="preserve">Wang, X., Wang, H. and Yang, D. (2022)</w:t>
      </w:r>
      <w:r>
        <w:t xml:space="preserve"> </w:t>
      </w:r>
      <w:r>
        <w:t xml:space="preserve">‘Measure and improve robustness in NLP models: A survey’</w:t>
      </w:r>
      <w:r>
        <w:t xml:space="preserve">, in</w:t>
      </w:r>
      <w:r>
        <w:t xml:space="preserve"> </w:t>
      </w:r>
      <w:r>
        <w:rPr>
          <w:i/>
          <w:iCs/>
        </w:rPr>
        <w:t xml:space="preserve">Proceedings of NAACL 2022</w:t>
      </w:r>
      <w:r>
        <w:t xml:space="preserve">. Seattle: Association for Computational Linguistics, pp. 4569–4586.</w:t>
      </w:r>
    </w:p>
    <w:p>
      <w:pPr>
        <w:pStyle w:val="BodyText"/>
      </w:pPr>
      <w:r>
        <w:t xml:space="preserve">Williamson, D.M., Xi, X. and Breyer, F.J. (2012)</w:t>
      </w:r>
      <w:r>
        <w:t xml:space="preserve"> </w:t>
      </w:r>
      <w:r>
        <w:t xml:space="preserve">‘A framework for evaluation and use of automated scoring’</w:t>
      </w:r>
      <w:r>
        <w:t xml:space="preserve">,</w:t>
      </w:r>
      <w:r>
        <w:t xml:space="preserve"> </w:t>
      </w:r>
      <w:r>
        <w:rPr>
          <w:i/>
          <w:iCs/>
        </w:rPr>
        <w:t xml:space="preserve">Educational Measurement: Issues and Practice</w:t>
      </w:r>
      <w:r>
        <w:t xml:space="preserve">, 31(1), pp. 2–13.</w:t>
      </w:r>
    </w:p>
    <w:bookmarkEnd w:id="60"/>
    <w:bookmarkEnd w:id="61"/>
    <w:sectPr w:rsidR="00692700" w:rsidRPr="00FA716E" w:rsidSect="00FA716E">
      <w:headerReference r:id="rId11" w:type="even"/>
      <w:footerReference r:id="rId12" w:type="even"/>
      <w:footerReference r:id="rId13" w:type="default"/>
      <w:headerReference r:id="rId14" w:type="first"/>
      <w:footerReference r:id="rId15" w:type="first"/>
      <w:footnotePr>
        <w:numRestart w:val="eachPage"/>
      </w:footnotePr>
      <w:type w:val="continuous"/>
      <w:pgSz w:code="9" w:h="16839" w:w="11907"/>
      <w:pgMar w:bottom="1440" w:footer="0" w:gutter="0" w:header="0" w:left="1440" w:right="1440" w:top="1440"/>
      <w:cols w:space="2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2C88" w14:textId="77777777" w:rsidR="00901787" w:rsidRDefault="00FD07C0">
    <w:pPr>
      <w:pStyle w:val="Footer"/>
      <w:framePr w:wrap="around" w:vAnchor="text" w:hAnchor="margin" w:xAlign="center" w:y="1"/>
      <w:rPr>
        <w:rStyle w:val="PageNumber"/>
      </w:rPr>
    </w:pPr>
    <w:r>
      <w:rPr>
        <w:rStyle w:val="PageNumber"/>
      </w:rPr>
      <w:fldChar w:fldCharType="begin"/>
    </w:r>
    <w:r w:rsidR="00901787">
      <w:rPr>
        <w:rStyle w:val="PageNumber"/>
      </w:rPr>
      <w:instrText xml:space="preserve">PAGE  </w:instrText>
    </w:r>
    <w:r>
      <w:rPr>
        <w:rStyle w:val="PageNumber"/>
      </w:rPr>
      <w:fldChar w:fldCharType="separate"/>
    </w:r>
    <w:r w:rsidR="00901787">
      <w:rPr>
        <w:rStyle w:val="PageNumber"/>
        <w:noProof/>
      </w:rPr>
      <w:t>2</w:t>
    </w:r>
    <w:r>
      <w:rPr>
        <w:rStyle w:val="PageNumber"/>
      </w:rPr>
      <w:fldChar w:fldCharType="end"/>
    </w:r>
  </w:p>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52638EB3" w14:textId="77777777">
      <w:trPr>
        <w:cantSplit/>
      </w:trPr>
      <w:tc>
        <w:tcPr>
          <w:tcW w:w="720" w:type="dxa"/>
          <w:tcBorders>
            <w:bottom w:val="single" w:sz="6" w:space="0" w:color="auto"/>
          </w:tcBorders>
        </w:tcPr>
        <w:p w14:paraId="34B74BED" w14:textId="77777777" w:rsidR="00901787" w:rsidRDefault="00901787">
          <w:pPr>
            <w:pStyle w:val="MainText"/>
          </w:pPr>
        </w:p>
      </w:tc>
      <w:tc>
        <w:tcPr>
          <w:tcW w:w="480" w:type="dxa"/>
        </w:tcPr>
        <w:p w14:paraId="76E899F0" w14:textId="77777777" w:rsidR="00901787" w:rsidRDefault="00901787">
          <w:pPr>
            <w:pStyle w:val="MainText"/>
          </w:pPr>
        </w:p>
      </w:tc>
      <w:tc>
        <w:tcPr>
          <w:tcW w:w="960" w:type="dxa"/>
        </w:tcPr>
        <w:p w14:paraId="54667A08" w14:textId="77777777" w:rsidR="00901787" w:rsidRDefault="00901787">
          <w:pPr>
            <w:pStyle w:val="MainText"/>
          </w:pPr>
        </w:p>
      </w:tc>
      <w:tc>
        <w:tcPr>
          <w:tcW w:w="7200" w:type="dxa"/>
        </w:tcPr>
        <w:p w14:paraId="7A6469D5" w14:textId="77777777" w:rsidR="00901787" w:rsidRDefault="00901787">
          <w:pPr>
            <w:pStyle w:val="Footer"/>
            <w:spacing w:line="240" w:lineRule="atLeast"/>
          </w:pPr>
        </w:p>
        <w:p w14:paraId="793D03EA" w14:textId="77777777" w:rsidR="00901787" w:rsidRDefault="00901787">
          <w:pPr>
            <w:pStyle w:val="Footer"/>
            <w:spacing w:line="240" w:lineRule="atLeast"/>
          </w:pPr>
        </w:p>
        <w:p w14:paraId="34CC2BCF" w14:textId="77777777" w:rsidR="00901787" w:rsidRDefault="00901787">
          <w:pPr>
            <w:pStyle w:val="Footer"/>
            <w:spacing w:line="240" w:lineRule="atLeast"/>
          </w:pPr>
        </w:p>
      </w:tc>
      <w:tc>
        <w:tcPr>
          <w:tcW w:w="960" w:type="dxa"/>
        </w:tcPr>
        <w:p w14:paraId="17B96B29" w14:textId="77777777" w:rsidR="00901787" w:rsidRDefault="00901787">
          <w:pPr>
            <w:pStyle w:val="MainText"/>
          </w:pPr>
        </w:p>
      </w:tc>
      <w:tc>
        <w:tcPr>
          <w:tcW w:w="480" w:type="dxa"/>
        </w:tcPr>
        <w:p w14:paraId="3F50B7E5" w14:textId="77777777" w:rsidR="00901787" w:rsidRDefault="00901787">
          <w:pPr>
            <w:pStyle w:val="MainText"/>
          </w:pPr>
        </w:p>
      </w:tc>
      <w:tc>
        <w:tcPr>
          <w:tcW w:w="720" w:type="dxa"/>
          <w:tcBorders>
            <w:bottom w:val="single" w:sz="6" w:space="0" w:color="auto"/>
          </w:tcBorders>
        </w:tcPr>
        <w:p w14:paraId="16ABA848" w14:textId="77777777" w:rsidR="00901787" w:rsidRDefault="00901787">
          <w:pPr>
            <w:pStyle w:val="MainText"/>
          </w:pPr>
        </w:p>
      </w:tc>
    </w:tr>
    <w:tr w:rsidR="00901787" w14:paraId="588A446A" w14:textId="77777777">
      <w:trPr>
        <w:cantSplit/>
      </w:trPr>
      <w:tc>
        <w:tcPr>
          <w:tcW w:w="720" w:type="dxa"/>
          <w:tcBorders>
            <w:top w:val="single" w:sz="6" w:space="0" w:color="auto"/>
          </w:tcBorders>
        </w:tcPr>
        <w:p w14:paraId="506639E0" w14:textId="77777777" w:rsidR="00901787" w:rsidRDefault="00901787">
          <w:pPr>
            <w:pStyle w:val="MainText"/>
          </w:pPr>
        </w:p>
      </w:tc>
      <w:tc>
        <w:tcPr>
          <w:tcW w:w="480" w:type="dxa"/>
        </w:tcPr>
        <w:p w14:paraId="7CC71FD6" w14:textId="77777777" w:rsidR="00901787" w:rsidRDefault="00901787">
          <w:pPr>
            <w:pStyle w:val="MainText"/>
          </w:pPr>
        </w:p>
      </w:tc>
      <w:tc>
        <w:tcPr>
          <w:tcW w:w="960" w:type="dxa"/>
        </w:tcPr>
        <w:p w14:paraId="7E1D504C" w14:textId="77777777" w:rsidR="00901787" w:rsidRDefault="00901787">
          <w:pPr>
            <w:pStyle w:val="MainText"/>
          </w:pPr>
        </w:p>
      </w:tc>
      <w:tc>
        <w:tcPr>
          <w:tcW w:w="7200" w:type="dxa"/>
        </w:tcPr>
        <w:p w14:paraId="459E61AE" w14:textId="77777777" w:rsidR="00901787" w:rsidRDefault="00901787">
          <w:pPr>
            <w:pStyle w:val="MainText"/>
            <w:spacing w:line="480" w:lineRule="atLeast"/>
          </w:pPr>
        </w:p>
      </w:tc>
      <w:tc>
        <w:tcPr>
          <w:tcW w:w="960" w:type="dxa"/>
        </w:tcPr>
        <w:p w14:paraId="6816239B" w14:textId="77777777" w:rsidR="00901787" w:rsidRDefault="00901787">
          <w:pPr>
            <w:pStyle w:val="MainText"/>
          </w:pPr>
        </w:p>
      </w:tc>
      <w:tc>
        <w:tcPr>
          <w:tcW w:w="480" w:type="dxa"/>
        </w:tcPr>
        <w:p w14:paraId="3460D184" w14:textId="77777777" w:rsidR="00901787" w:rsidRDefault="00901787">
          <w:pPr>
            <w:pStyle w:val="MainText"/>
          </w:pPr>
        </w:p>
      </w:tc>
      <w:tc>
        <w:tcPr>
          <w:tcW w:w="720" w:type="dxa"/>
          <w:tcBorders>
            <w:top w:val="single" w:sz="6" w:space="0" w:color="auto"/>
          </w:tcBorders>
        </w:tcPr>
        <w:p w14:paraId="0152977D" w14:textId="77777777" w:rsidR="00901787" w:rsidRDefault="00901787">
          <w:pPr>
            <w:pStyle w:val="MainText"/>
          </w:pPr>
        </w:p>
      </w:tc>
    </w:tr>
    <w:tr w:rsidR="00901787" w14:paraId="152F1494" w14:textId="77777777">
      <w:trPr>
        <w:cantSplit/>
      </w:trPr>
      <w:tc>
        <w:tcPr>
          <w:tcW w:w="720" w:type="dxa"/>
        </w:tcPr>
        <w:p w14:paraId="4B6F8494" w14:textId="77777777" w:rsidR="00901787" w:rsidRDefault="00901787">
          <w:pPr>
            <w:pStyle w:val="MainText"/>
          </w:pPr>
        </w:p>
      </w:tc>
      <w:tc>
        <w:tcPr>
          <w:tcW w:w="480" w:type="dxa"/>
          <w:tcBorders>
            <w:right w:val="single" w:sz="6" w:space="0" w:color="auto"/>
          </w:tcBorders>
        </w:tcPr>
        <w:p w14:paraId="103E008E" w14:textId="77777777" w:rsidR="00901787" w:rsidRDefault="00901787">
          <w:pPr>
            <w:pStyle w:val="MainText"/>
          </w:pPr>
        </w:p>
      </w:tc>
      <w:tc>
        <w:tcPr>
          <w:tcW w:w="960" w:type="dxa"/>
        </w:tcPr>
        <w:p w14:paraId="35A7F272" w14:textId="77777777" w:rsidR="00901787" w:rsidRDefault="00901787">
          <w:pPr>
            <w:pStyle w:val="MainText"/>
          </w:pPr>
        </w:p>
      </w:tc>
      <w:tc>
        <w:tcPr>
          <w:tcW w:w="7200" w:type="dxa"/>
        </w:tcPr>
        <w:p w14:paraId="070CD55C" w14:textId="77777777" w:rsidR="00901787" w:rsidRDefault="00901787">
          <w:pPr>
            <w:pStyle w:val="MainText"/>
            <w:spacing w:line="720" w:lineRule="atLeast"/>
          </w:pPr>
        </w:p>
      </w:tc>
      <w:tc>
        <w:tcPr>
          <w:tcW w:w="960" w:type="dxa"/>
        </w:tcPr>
        <w:p w14:paraId="1261EB03" w14:textId="77777777" w:rsidR="00901787" w:rsidRDefault="00901787">
          <w:pPr>
            <w:pStyle w:val="MainText"/>
          </w:pPr>
        </w:p>
      </w:tc>
      <w:tc>
        <w:tcPr>
          <w:tcW w:w="480" w:type="dxa"/>
          <w:tcBorders>
            <w:left w:val="single" w:sz="6" w:space="0" w:color="auto"/>
          </w:tcBorders>
        </w:tcPr>
        <w:p w14:paraId="51819B98" w14:textId="77777777" w:rsidR="00901787" w:rsidRDefault="00901787">
          <w:pPr>
            <w:pStyle w:val="MainText"/>
          </w:pPr>
        </w:p>
      </w:tc>
      <w:tc>
        <w:tcPr>
          <w:tcW w:w="720" w:type="dxa"/>
        </w:tcPr>
        <w:p w14:paraId="743AF753" w14:textId="77777777" w:rsidR="00901787" w:rsidRDefault="00901787">
          <w:pPr>
            <w:pStyle w:val="MainText"/>
          </w:pPr>
        </w:p>
      </w:tc>
    </w:tr>
    <w:tr w:rsidR="00901787" w14:paraId="084C7269" w14:textId="77777777">
      <w:trPr>
        <w:cantSplit/>
      </w:trPr>
      <w:tc>
        <w:tcPr>
          <w:tcW w:w="720" w:type="dxa"/>
        </w:tcPr>
        <w:p w14:paraId="4A353B1F" w14:textId="77777777" w:rsidR="00901787" w:rsidRDefault="00901787">
          <w:pPr>
            <w:pStyle w:val="MainText"/>
          </w:pPr>
        </w:p>
      </w:tc>
      <w:tc>
        <w:tcPr>
          <w:tcW w:w="480" w:type="dxa"/>
        </w:tcPr>
        <w:p w14:paraId="7729E76E" w14:textId="77777777" w:rsidR="00901787" w:rsidRDefault="00901787">
          <w:pPr>
            <w:pStyle w:val="MainText"/>
          </w:pPr>
        </w:p>
      </w:tc>
      <w:tc>
        <w:tcPr>
          <w:tcW w:w="960" w:type="dxa"/>
        </w:tcPr>
        <w:p w14:paraId="1DA058A1" w14:textId="77777777" w:rsidR="00901787" w:rsidRDefault="00901787">
          <w:pPr>
            <w:pStyle w:val="MainText"/>
          </w:pPr>
        </w:p>
      </w:tc>
      <w:tc>
        <w:tcPr>
          <w:tcW w:w="7200" w:type="dxa"/>
        </w:tcPr>
        <w:p w14:paraId="2B74E118" w14:textId="77777777" w:rsidR="00901787" w:rsidRDefault="00901787">
          <w:pPr>
            <w:pStyle w:val="Header1"/>
            <w:tabs>
              <w:tab w:val="clear" w:pos="7200"/>
              <w:tab w:val="right" w:pos="7080"/>
            </w:tabs>
          </w:pPr>
        </w:p>
      </w:tc>
      <w:tc>
        <w:tcPr>
          <w:tcW w:w="960" w:type="dxa"/>
        </w:tcPr>
        <w:p w14:paraId="3DEC2FEF" w14:textId="77777777" w:rsidR="00901787" w:rsidRDefault="00901787">
          <w:pPr>
            <w:pStyle w:val="MainText"/>
          </w:pPr>
        </w:p>
      </w:tc>
      <w:tc>
        <w:tcPr>
          <w:tcW w:w="480" w:type="dxa"/>
        </w:tcPr>
        <w:p w14:paraId="28F7B1FA" w14:textId="77777777" w:rsidR="00901787" w:rsidRDefault="00901787">
          <w:pPr>
            <w:pStyle w:val="MainText"/>
          </w:pPr>
        </w:p>
      </w:tc>
      <w:tc>
        <w:tcPr>
          <w:tcW w:w="720" w:type="dxa"/>
        </w:tcPr>
        <w:p w14:paraId="4173889B" w14:textId="77777777" w:rsidR="00901787" w:rsidRDefault="00901787">
          <w:pPr>
            <w:pStyle w:val="MainText"/>
          </w:pPr>
        </w:p>
      </w:tc>
    </w:tr>
  </w:tbl>
  <w:p w14:paraId="77CDE049" w14:textId="77777777" w:rsidR="00901787" w:rsidRDefault="0090178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8C71" w14:textId="77777777" w:rsidR="00901787" w:rsidRDefault="0090178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3A47EB09" w14:textId="77777777">
      <w:trPr>
        <w:cantSplit/>
      </w:trPr>
      <w:tc>
        <w:tcPr>
          <w:tcW w:w="720" w:type="dxa"/>
          <w:tcBorders>
            <w:bottom w:val="single" w:sz="6" w:space="0" w:color="auto"/>
          </w:tcBorders>
        </w:tcPr>
        <w:p w14:paraId="386FD0D8" w14:textId="77777777" w:rsidR="00901787" w:rsidRDefault="00901787">
          <w:pPr>
            <w:pStyle w:val="MainText"/>
          </w:pPr>
        </w:p>
      </w:tc>
      <w:tc>
        <w:tcPr>
          <w:tcW w:w="480" w:type="dxa"/>
        </w:tcPr>
        <w:p w14:paraId="34ABB98C" w14:textId="77777777" w:rsidR="00901787" w:rsidRDefault="00901787">
          <w:pPr>
            <w:pStyle w:val="MainText"/>
          </w:pPr>
        </w:p>
      </w:tc>
      <w:tc>
        <w:tcPr>
          <w:tcW w:w="960" w:type="dxa"/>
        </w:tcPr>
        <w:p w14:paraId="3AFA09D9" w14:textId="77777777" w:rsidR="00901787" w:rsidRDefault="00901787">
          <w:pPr>
            <w:pStyle w:val="MainText"/>
          </w:pPr>
        </w:p>
      </w:tc>
      <w:tc>
        <w:tcPr>
          <w:tcW w:w="7200" w:type="dxa"/>
        </w:tcPr>
        <w:p w14:paraId="2558A971" w14:textId="77777777" w:rsidR="00901787" w:rsidRDefault="00901787">
          <w:pPr>
            <w:pStyle w:val="Footer"/>
            <w:spacing w:line="240" w:lineRule="atLeast"/>
          </w:pPr>
        </w:p>
        <w:p w14:paraId="55692532" w14:textId="77777777" w:rsidR="00901787" w:rsidRDefault="00901787">
          <w:pPr>
            <w:pStyle w:val="Footer"/>
            <w:spacing w:line="240" w:lineRule="atLeast"/>
          </w:pPr>
        </w:p>
      </w:tc>
      <w:tc>
        <w:tcPr>
          <w:tcW w:w="960" w:type="dxa"/>
        </w:tcPr>
        <w:p w14:paraId="3DC4E481" w14:textId="77777777" w:rsidR="00901787" w:rsidRDefault="00901787">
          <w:pPr>
            <w:pStyle w:val="MainText"/>
          </w:pPr>
        </w:p>
      </w:tc>
      <w:tc>
        <w:tcPr>
          <w:tcW w:w="480" w:type="dxa"/>
        </w:tcPr>
        <w:p w14:paraId="457EED93" w14:textId="77777777" w:rsidR="00901787" w:rsidRDefault="00901787">
          <w:pPr>
            <w:pStyle w:val="MainText"/>
          </w:pPr>
        </w:p>
      </w:tc>
      <w:tc>
        <w:tcPr>
          <w:tcW w:w="720" w:type="dxa"/>
          <w:tcBorders>
            <w:bottom w:val="single" w:sz="6" w:space="0" w:color="auto"/>
          </w:tcBorders>
        </w:tcPr>
        <w:p w14:paraId="316CE989" w14:textId="77777777" w:rsidR="00901787" w:rsidRDefault="00901787">
          <w:pPr>
            <w:pStyle w:val="MainText"/>
          </w:pPr>
        </w:p>
      </w:tc>
    </w:tr>
    <w:tr w:rsidR="00901787" w14:paraId="4E0279D7" w14:textId="77777777">
      <w:trPr>
        <w:cantSplit/>
      </w:trPr>
      <w:tc>
        <w:tcPr>
          <w:tcW w:w="720" w:type="dxa"/>
          <w:tcBorders>
            <w:top w:val="single" w:sz="6" w:space="0" w:color="auto"/>
          </w:tcBorders>
        </w:tcPr>
        <w:p w14:paraId="74108FEF" w14:textId="77777777" w:rsidR="00901787" w:rsidRDefault="00901787">
          <w:pPr>
            <w:pStyle w:val="MainText"/>
          </w:pPr>
        </w:p>
      </w:tc>
      <w:tc>
        <w:tcPr>
          <w:tcW w:w="480" w:type="dxa"/>
        </w:tcPr>
        <w:p w14:paraId="3A6EB198" w14:textId="77777777" w:rsidR="00901787" w:rsidRDefault="00901787">
          <w:pPr>
            <w:pStyle w:val="MainText"/>
          </w:pPr>
        </w:p>
      </w:tc>
      <w:tc>
        <w:tcPr>
          <w:tcW w:w="960" w:type="dxa"/>
        </w:tcPr>
        <w:p w14:paraId="439FF21B" w14:textId="77777777" w:rsidR="00901787" w:rsidRDefault="00901787">
          <w:pPr>
            <w:pStyle w:val="MainText"/>
          </w:pPr>
        </w:p>
      </w:tc>
      <w:tc>
        <w:tcPr>
          <w:tcW w:w="7200" w:type="dxa"/>
        </w:tcPr>
        <w:p w14:paraId="6A17C023" w14:textId="77777777" w:rsidR="00901787" w:rsidRDefault="00901787">
          <w:pPr>
            <w:pStyle w:val="MainText"/>
            <w:spacing w:line="480" w:lineRule="atLeast"/>
          </w:pPr>
        </w:p>
      </w:tc>
      <w:tc>
        <w:tcPr>
          <w:tcW w:w="960" w:type="dxa"/>
        </w:tcPr>
        <w:p w14:paraId="2C32DFC0" w14:textId="77777777" w:rsidR="00901787" w:rsidRDefault="00901787">
          <w:pPr>
            <w:pStyle w:val="MainText"/>
          </w:pPr>
        </w:p>
      </w:tc>
      <w:tc>
        <w:tcPr>
          <w:tcW w:w="480" w:type="dxa"/>
        </w:tcPr>
        <w:p w14:paraId="36BE84D8" w14:textId="77777777" w:rsidR="00901787" w:rsidRDefault="00901787">
          <w:pPr>
            <w:pStyle w:val="MainText"/>
          </w:pPr>
        </w:p>
      </w:tc>
      <w:tc>
        <w:tcPr>
          <w:tcW w:w="720" w:type="dxa"/>
          <w:tcBorders>
            <w:top w:val="single" w:sz="6" w:space="0" w:color="auto"/>
          </w:tcBorders>
        </w:tcPr>
        <w:p w14:paraId="45FB1FDF" w14:textId="77777777" w:rsidR="00901787" w:rsidRDefault="00901787">
          <w:pPr>
            <w:pStyle w:val="MainText"/>
          </w:pPr>
        </w:p>
      </w:tc>
    </w:tr>
    <w:tr w:rsidR="00901787" w14:paraId="75304854" w14:textId="77777777">
      <w:trPr>
        <w:cantSplit/>
      </w:trPr>
      <w:tc>
        <w:tcPr>
          <w:tcW w:w="720" w:type="dxa"/>
        </w:tcPr>
        <w:p w14:paraId="5009000D" w14:textId="77777777" w:rsidR="00901787" w:rsidRDefault="00901787">
          <w:pPr>
            <w:pStyle w:val="MainText"/>
          </w:pPr>
        </w:p>
      </w:tc>
      <w:tc>
        <w:tcPr>
          <w:tcW w:w="480" w:type="dxa"/>
          <w:tcBorders>
            <w:right w:val="single" w:sz="6" w:space="0" w:color="auto"/>
          </w:tcBorders>
        </w:tcPr>
        <w:p w14:paraId="0453CF7D" w14:textId="77777777" w:rsidR="00901787" w:rsidRDefault="00901787">
          <w:pPr>
            <w:pStyle w:val="MainText"/>
          </w:pPr>
        </w:p>
      </w:tc>
      <w:tc>
        <w:tcPr>
          <w:tcW w:w="960" w:type="dxa"/>
        </w:tcPr>
        <w:p w14:paraId="1E4B9CF1" w14:textId="77777777" w:rsidR="00901787" w:rsidRDefault="00901787">
          <w:pPr>
            <w:pStyle w:val="MainText"/>
          </w:pPr>
        </w:p>
      </w:tc>
      <w:tc>
        <w:tcPr>
          <w:tcW w:w="7200" w:type="dxa"/>
        </w:tcPr>
        <w:p w14:paraId="55D09BAC" w14:textId="77777777" w:rsidR="00901787" w:rsidRDefault="00901787">
          <w:pPr>
            <w:pStyle w:val="MainText"/>
            <w:spacing w:line="720" w:lineRule="atLeast"/>
          </w:pPr>
        </w:p>
      </w:tc>
      <w:tc>
        <w:tcPr>
          <w:tcW w:w="960" w:type="dxa"/>
        </w:tcPr>
        <w:p w14:paraId="3EF0F252" w14:textId="77777777" w:rsidR="00901787" w:rsidRDefault="00901787">
          <w:pPr>
            <w:pStyle w:val="MainText"/>
          </w:pPr>
        </w:p>
      </w:tc>
      <w:tc>
        <w:tcPr>
          <w:tcW w:w="480" w:type="dxa"/>
          <w:tcBorders>
            <w:left w:val="single" w:sz="6" w:space="0" w:color="auto"/>
          </w:tcBorders>
        </w:tcPr>
        <w:p w14:paraId="3C8D0FA7" w14:textId="77777777" w:rsidR="00901787" w:rsidRDefault="00901787">
          <w:pPr>
            <w:pStyle w:val="MainText"/>
          </w:pPr>
        </w:p>
      </w:tc>
      <w:tc>
        <w:tcPr>
          <w:tcW w:w="720" w:type="dxa"/>
        </w:tcPr>
        <w:p w14:paraId="0A9E47AC" w14:textId="77777777" w:rsidR="00901787" w:rsidRDefault="00901787">
          <w:pPr>
            <w:pStyle w:val="MainText"/>
          </w:pPr>
        </w:p>
      </w:tc>
    </w:tr>
    <w:tr w:rsidR="00901787" w14:paraId="6284D831" w14:textId="77777777">
      <w:trPr>
        <w:cantSplit/>
      </w:trPr>
      <w:tc>
        <w:tcPr>
          <w:tcW w:w="720" w:type="dxa"/>
        </w:tcPr>
        <w:p w14:paraId="5853BD38" w14:textId="77777777" w:rsidR="00901787" w:rsidRDefault="00901787">
          <w:pPr>
            <w:pStyle w:val="MainText"/>
          </w:pPr>
        </w:p>
      </w:tc>
      <w:tc>
        <w:tcPr>
          <w:tcW w:w="480" w:type="dxa"/>
        </w:tcPr>
        <w:p w14:paraId="1F8EED2E" w14:textId="77777777" w:rsidR="00901787" w:rsidRDefault="00901787">
          <w:pPr>
            <w:pStyle w:val="MainText"/>
          </w:pPr>
        </w:p>
      </w:tc>
      <w:tc>
        <w:tcPr>
          <w:tcW w:w="960" w:type="dxa"/>
        </w:tcPr>
        <w:p w14:paraId="492DBD66" w14:textId="77777777" w:rsidR="00901787" w:rsidRDefault="00901787">
          <w:pPr>
            <w:pStyle w:val="MainText"/>
          </w:pPr>
        </w:p>
      </w:tc>
      <w:tc>
        <w:tcPr>
          <w:tcW w:w="7200" w:type="dxa"/>
        </w:tcPr>
        <w:p w14:paraId="7AC7DB07" w14:textId="77777777" w:rsidR="00901787" w:rsidRDefault="00901787">
          <w:pPr>
            <w:pStyle w:val="Header1"/>
            <w:tabs>
              <w:tab w:val="clear" w:pos="7200"/>
              <w:tab w:val="right" w:pos="7080"/>
            </w:tabs>
          </w:pPr>
        </w:p>
      </w:tc>
      <w:tc>
        <w:tcPr>
          <w:tcW w:w="960" w:type="dxa"/>
        </w:tcPr>
        <w:p w14:paraId="602A87BD" w14:textId="77777777" w:rsidR="00901787" w:rsidRDefault="00901787">
          <w:pPr>
            <w:pStyle w:val="MainText"/>
          </w:pPr>
        </w:p>
      </w:tc>
      <w:tc>
        <w:tcPr>
          <w:tcW w:w="480" w:type="dxa"/>
        </w:tcPr>
        <w:p w14:paraId="5AA64296" w14:textId="77777777" w:rsidR="00901787" w:rsidRDefault="00901787">
          <w:pPr>
            <w:pStyle w:val="MainText"/>
          </w:pPr>
        </w:p>
      </w:tc>
      <w:tc>
        <w:tcPr>
          <w:tcW w:w="720" w:type="dxa"/>
        </w:tcPr>
        <w:p w14:paraId="37556808" w14:textId="77777777" w:rsidR="00901787" w:rsidRDefault="00901787">
          <w:pPr>
            <w:pStyle w:val="MainText"/>
          </w:pPr>
        </w:p>
      </w:tc>
    </w:tr>
  </w:tbl>
  <w:p w14:paraId="1D66AF1D" w14:textId="77777777" w:rsidR="00901787" w:rsidRDefault="009017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1B10CBE1" w14:textId="77777777">
      <w:trPr>
        <w:cantSplit/>
      </w:trPr>
      <w:tc>
        <w:tcPr>
          <w:tcW w:w="720" w:type="dxa"/>
        </w:tcPr>
        <w:p w14:paraId="6BF1B206" w14:textId="77777777" w:rsidR="00901787" w:rsidRDefault="00901787">
          <w:pPr>
            <w:pStyle w:val="MainText"/>
          </w:pPr>
        </w:p>
      </w:tc>
      <w:tc>
        <w:tcPr>
          <w:tcW w:w="480" w:type="dxa"/>
          <w:tcBorders>
            <w:right w:val="single" w:sz="6" w:space="0" w:color="auto"/>
          </w:tcBorders>
        </w:tcPr>
        <w:p w14:paraId="324785AB" w14:textId="77777777" w:rsidR="00901787" w:rsidRDefault="00901787">
          <w:pPr>
            <w:pStyle w:val="MainText"/>
          </w:pPr>
        </w:p>
      </w:tc>
      <w:tc>
        <w:tcPr>
          <w:tcW w:w="960" w:type="dxa"/>
        </w:tcPr>
        <w:p w14:paraId="7CDFC3C3" w14:textId="77777777" w:rsidR="00901787" w:rsidRDefault="00901787">
          <w:pPr>
            <w:pStyle w:val="MainText"/>
          </w:pPr>
        </w:p>
      </w:tc>
      <w:tc>
        <w:tcPr>
          <w:tcW w:w="7200" w:type="dxa"/>
        </w:tcPr>
        <w:p w14:paraId="2F661D75" w14:textId="77777777" w:rsidR="00901787" w:rsidRDefault="00901787">
          <w:pPr>
            <w:pStyle w:val="MainText"/>
            <w:spacing w:line="1080" w:lineRule="atLeast"/>
          </w:pPr>
        </w:p>
      </w:tc>
      <w:tc>
        <w:tcPr>
          <w:tcW w:w="960" w:type="dxa"/>
        </w:tcPr>
        <w:p w14:paraId="7B84D0AA" w14:textId="77777777" w:rsidR="00901787" w:rsidRDefault="00901787">
          <w:pPr>
            <w:pStyle w:val="MainText"/>
          </w:pPr>
        </w:p>
      </w:tc>
      <w:tc>
        <w:tcPr>
          <w:tcW w:w="480" w:type="dxa"/>
          <w:tcBorders>
            <w:left w:val="single" w:sz="6" w:space="0" w:color="auto"/>
          </w:tcBorders>
        </w:tcPr>
        <w:p w14:paraId="31460EAF" w14:textId="77777777" w:rsidR="00901787" w:rsidRDefault="00901787">
          <w:pPr>
            <w:pStyle w:val="MainText"/>
          </w:pPr>
        </w:p>
      </w:tc>
      <w:tc>
        <w:tcPr>
          <w:tcW w:w="720" w:type="dxa"/>
        </w:tcPr>
        <w:p w14:paraId="67AE0C0A" w14:textId="77777777" w:rsidR="00901787" w:rsidRDefault="00901787">
          <w:pPr>
            <w:pStyle w:val="MainText"/>
          </w:pPr>
        </w:p>
      </w:tc>
    </w:tr>
    <w:tr w:rsidR="00901787" w14:paraId="226A0E3A" w14:textId="77777777">
      <w:trPr>
        <w:cantSplit/>
      </w:trPr>
      <w:tc>
        <w:tcPr>
          <w:tcW w:w="720" w:type="dxa"/>
          <w:tcBorders>
            <w:bottom w:val="single" w:sz="6" w:space="0" w:color="auto"/>
          </w:tcBorders>
        </w:tcPr>
        <w:p w14:paraId="6E6A2DF5" w14:textId="77777777" w:rsidR="00901787" w:rsidRDefault="00901787">
          <w:pPr>
            <w:pStyle w:val="MainText"/>
          </w:pPr>
        </w:p>
      </w:tc>
      <w:tc>
        <w:tcPr>
          <w:tcW w:w="480" w:type="dxa"/>
        </w:tcPr>
        <w:p w14:paraId="7A720B2F" w14:textId="77777777" w:rsidR="00901787" w:rsidRDefault="00901787">
          <w:pPr>
            <w:pStyle w:val="MainText"/>
          </w:pPr>
        </w:p>
      </w:tc>
      <w:tc>
        <w:tcPr>
          <w:tcW w:w="960" w:type="dxa"/>
        </w:tcPr>
        <w:p w14:paraId="0423FB98" w14:textId="77777777" w:rsidR="00901787" w:rsidRDefault="00901787">
          <w:pPr>
            <w:pStyle w:val="MainText"/>
          </w:pPr>
        </w:p>
      </w:tc>
      <w:tc>
        <w:tcPr>
          <w:tcW w:w="7200" w:type="dxa"/>
        </w:tcPr>
        <w:p w14:paraId="7377B0E3" w14:textId="77777777" w:rsidR="00901787" w:rsidRDefault="00901787">
          <w:pPr>
            <w:pStyle w:val="MainText"/>
            <w:spacing w:line="480" w:lineRule="atLeast"/>
          </w:pPr>
        </w:p>
      </w:tc>
      <w:tc>
        <w:tcPr>
          <w:tcW w:w="960" w:type="dxa"/>
        </w:tcPr>
        <w:p w14:paraId="51C9D6EB" w14:textId="77777777" w:rsidR="00901787" w:rsidRDefault="00901787">
          <w:pPr>
            <w:pStyle w:val="MainText"/>
          </w:pPr>
        </w:p>
      </w:tc>
      <w:tc>
        <w:tcPr>
          <w:tcW w:w="480" w:type="dxa"/>
        </w:tcPr>
        <w:p w14:paraId="4746E949" w14:textId="77777777" w:rsidR="00901787" w:rsidRDefault="00901787">
          <w:pPr>
            <w:pStyle w:val="MainText"/>
          </w:pPr>
        </w:p>
      </w:tc>
      <w:tc>
        <w:tcPr>
          <w:tcW w:w="720" w:type="dxa"/>
          <w:tcBorders>
            <w:bottom w:val="single" w:sz="6" w:space="0" w:color="auto"/>
          </w:tcBorders>
        </w:tcPr>
        <w:p w14:paraId="06706F4A" w14:textId="77777777" w:rsidR="00901787" w:rsidRDefault="00901787">
          <w:pPr>
            <w:pStyle w:val="MainText"/>
          </w:pPr>
        </w:p>
      </w:tc>
    </w:tr>
    <w:tr w:rsidR="00901787" w14:paraId="3B3B881F" w14:textId="77777777">
      <w:trPr>
        <w:cantSplit/>
      </w:trPr>
      <w:tc>
        <w:tcPr>
          <w:tcW w:w="720" w:type="dxa"/>
          <w:tcBorders>
            <w:top w:val="single" w:sz="6" w:space="0" w:color="auto"/>
          </w:tcBorders>
        </w:tcPr>
        <w:p w14:paraId="59B07E37" w14:textId="77777777" w:rsidR="00901787" w:rsidRDefault="00901787">
          <w:pPr>
            <w:pStyle w:val="MainText"/>
          </w:pPr>
        </w:p>
      </w:tc>
      <w:tc>
        <w:tcPr>
          <w:tcW w:w="480" w:type="dxa"/>
        </w:tcPr>
        <w:p w14:paraId="62E6F831" w14:textId="77777777" w:rsidR="00901787" w:rsidRDefault="00901787">
          <w:pPr>
            <w:pStyle w:val="MainText"/>
          </w:pPr>
        </w:p>
      </w:tc>
      <w:tc>
        <w:tcPr>
          <w:tcW w:w="960" w:type="dxa"/>
        </w:tcPr>
        <w:p w14:paraId="51CC6570" w14:textId="77777777" w:rsidR="00901787" w:rsidRDefault="00901787">
          <w:pPr>
            <w:pStyle w:val="MainText"/>
          </w:pPr>
        </w:p>
      </w:tc>
      <w:tc>
        <w:tcPr>
          <w:tcW w:w="7200" w:type="dxa"/>
        </w:tcPr>
        <w:p w14:paraId="295C5A46" w14:textId="77777777" w:rsidR="00901787" w:rsidRDefault="00901787">
          <w:pPr>
            <w:pStyle w:val="MainText"/>
            <w:spacing w:line="600" w:lineRule="atLeast"/>
          </w:pPr>
        </w:p>
      </w:tc>
      <w:tc>
        <w:tcPr>
          <w:tcW w:w="960" w:type="dxa"/>
        </w:tcPr>
        <w:p w14:paraId="56FFE813" w14:textId="77777777" w:rsidR="00901787" w:rsidRDefault="00901787">
          <w:pPr>
            <w:pStyle w:val="MainText"/>
          </w:pPr>
        </w:p>
      </w:tc>
      <w:tc>
        <w:tcPr>
          <w:tcW w:w="480" w:type="dxa"/>
        </w:tcPr>
        <w:p w14:paraId="32770708" w14:textId="77777777" w:rsidR="00901787" w:rsidRDefault="00901787">
          <w:pPr>
            <w:pStyle w:val="MainText"/>
          </w:pPr>
        </w:p>
      </w:tc>
      <w:tc>
        <w:tcPr>
          <w:tcW w:w="720" w:type="dxa"/>
          <w:tcBorders>
            <w:top w:val="single" w:sz="6" w:space="0" w:color="auto"/>
          </w:tcBorders>
        </w:tcPr>
        <w:p w14:paraId="1B55877D" w14:textId="77777777" w:rsidR="00901787" w:rsidRDefault="00901787">
          <w:pPr>
            <w:pStyle w:val="MainText"/>
          </w:pPr>
        </w:p>
      </w:tc>
    </w:tr>
    <w:tr w:rsidR="00901787" w14:paraId="5C9F987B" w14:textId="77777777">
      <w:trPr>
        <w:cantSplit/>
      </w:trPr>
      <w:tc>
        <w:tcPr>
          <w:tcW w:w="720" w:type="dxa"/>
        </w:tcPr>
        <w:p w14:paraId="75E1F290" w14:textId="77777777" w:rsidR="00901787" w:rsidRDefault="00901787">
          <w:pPr>
            <w:pStyle w:val="MainText"/>
          </w:pPr>
        </w:p>
      </w:tc>
      <w:tc>
        <w:tcPr>
          <w:tcW w:w="480" w:type="dxa"/>
        </w:tcPr>
        <w:p w14:paraId="78236E54" w14:textId="77777777" w:rsidR="00901787" w:rsidRDefault="00901787">
          <w:pPr>
            <w:pStyle w:val="MainText"/>
          </w:pPr>
        </w:p>
      </w:tc>
      <w:tc>
        <w:tcPr>
          <w:tcW w:w="960" w:type="dxa"/>
        </w:tcPr>
        <w:p w14:paraId="024C7BA3" w14:textId="77777777" w:rsidR="00901787" w:rsidRDefault="00901787">
          <w:pPr>
            <w:pStyle w:val="MainText"/>
          </w:pPr>
        </w:p>
      </w:tc>
      <w:tc>
        <w:tcPr>
          <w:tcW w:w="7200" w:type="dxa"/>
        </w:tcPr>
        <w:p w14:paraId="4B2FDE14" w14:textId="77777777" w:rsidR="00901787" w:rsidRDefault="00901787">
          <w:pPr>
            <w:pStyle w:val="Header1"/>
            <w:tabs>
              <w:tab w:val="clear" w:pos="7200"/>
              <w:tab w:val="right" w:pos="7080"/>
            </w:tabs>
          </w:pPr>
          <w:r>
            <w:t>Title of the Paper</w:t>
          </w:r>
        </w:p>
      </w:tc>
      <w:tc>
        <w:tcPr>
          <w:tcW w:w="960" w:type="dxa"/>
        </w:tcPr>
        <w:p w14:paraId="06677226" w14:textId="77777777" w:rsidR="00901787" w:rsidRDefault="00901787">
          <w:pPr>
            <w:pStyle w:val="MainText"/>
          </w:pPr>
        </w:p>
      </w:tc>
      <w:tc>
        <w:tcPr>
          <w:tcW w:w="480" w:type="dxa"/>
        </w:tcPr>
        <w:p w14:paraId="4992CDDB" w14:textId="77777777" w:rsidR="00901787" w:rsidRDefault="00901787">
          <w:pPr>
            <w:pStyle w:val="MainText"/>
          </w:pPr>
        </w:p>
      </w:tc>
      <w:tc>
        <w:tcPr>
          <w:tcW w:w="720" w:type="dxa"/>
        </w:tcPr>
        <w:p w14:paraId="1FF0314A" w14:textId="77777777" w:rsidR="00901787" w:rsidRDefault="00901787">
          <w:pPr>
            <w:pStyle w:val="MainText"/>
          </w:pPr>
        </w:p>
      </w:tc>
    </w:tr>
  </w:tbl>
  <w:p w14:paraId="71A99427" w14:textId="77777777" w:rsidR="00901787" w:rsidRDefault="00901787">
    <w:pPr>
      <w:pStyle w:val="Header1"/>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51001D78" w14:textId="77777777">
      <w:trPr>
        <w:cantSplit/>
      </w:trPr>
      <w:tc>
        <w:tcPr>
          <w:tcW w:w="720" w:type="dxa"/>
        </w:tcPr>
        <w:p w14:paraId="3690E46B" w14:textId="77777777" w:rsidR="00901787" w:rsidRDefault="00901787">
          <w:pPr>
            <w:pStyle w:val="MainText"/>
          </w:pPr>
        </w:p>
      </w:tc>
      <w:tc>
        <w:tcPr>
          <w:tcW w:w="480" w:type="dxa"/>
          <w:tcBorders>
            <w:right w:val="single" w:sz="6" w:space="0" w:color="auto"/>
          </w:tcBorders>
        </w:tcPr>
        <w:p w14:paraId="6F97A4BA" w14:textId="77777777" w:rsidR="00901787" w:rsidRDefault="00901787">
          <w:pPr>
            <w:pStyle w:val="MainText"/>
          </w:pPr>
        </w:p>
      </w:tc>
      <w:tc>
        <w:tcPr>
          <w:tcW w:w="960" w:type="dxa"/>
        </w:tcPr>
        <w:p w14:paraId="279754D4" w14:textId="77777777" w:rsidR="00901787" w:rsidRDefault="00901787">
          <w:pPr>
            <w:pStyle w:val="MainText"/>
          </w:pPr>
        </w:p>
      </w:tc>
      <w:tc>
        <w:tcPr>
          <w:tcW w:w="7200" w:type="dxa"/>
        </w:tcPr>
        <w:p w14:paraId="739E1A29" w14:textId="77777777" w:rsidR="00901787" w:rsidRDefault="00901787">
          <w:pPr>
            <w:pStyle w:val="MainText"/>
            <w:spacing w:line="1080" w:lineRule="atLeast"/>
          </w:pPr>
        </w:p>
      </w:tc>
      <w:tc>
        <w:tcPr>
          <w:tcW w:w="960" w:type="dxa"/>
        </w:tcPr>
        <w:p w14:paraId="135E8C3C" w14:textId="77777777" w:rsidR="00901787" w:rsidRDefault="00901787">
          <w:pPr>
            <w:pStyle w:val="MainText"/>
          </w:pPr>
        </w:p>
      </w:tc>
      <w:tc>
        <w:tcPr>
          <w:tcW w:w="480" w:type="dxa"/>
          <w:tcBorders>
            <w:left w:val="single" w:sz="6" w:space="0" w:color="auto"/>
          </w:tcBorders>
        </w:tcPr>
        <w:p w14:paraId="2D369EA8" w14:textId="77777777" w:rsidR="00901787" w:rsidRDefault="00901787">
          <w:pPr>
            <w:pStyle w:val="MainText"/>
          </w:pPr>
        </w:p>
      </w:tc>
      <w:tc>
        <w:tcPr>
          <w:tcW w:w="720" w:type="dxa"/>
        </w:tcPr>
        <w:p w14:paraId="23716A1A" w14:textId="77777777" w:rsidR="00901787" w:rsidRDefault="00901787">
          <w:pPr>
            <w:pStyle w:val="MainText"/>
          </w:pPr>
        </w:p>
      </w:tc>
    </w:tr>
    <w:tr w:rsidR="00901787" w14:paraId="223557F9" w14:textId="77777777">
      <w:trPr>
        <w:cantSplit/>
      </w:trPr>
      <w:tc>
        <w:tcPr>
          <w:tcW w:w="720" w:type="dxa"/>
          <w:tcBorders>
            <w:bottom w:val="single" w:sz="6" w:space="0" w:color="auto"/>
          </w:tcBorders>
        </w:tcPr>
        <w:p w14:paraId="0C775D03" w14:textId="77777777" w:rsidR="00901787" w:rsidRDefault="00901787">
          <w:pPr>
            <w:pStyle w:val="MainText"/>
          </w:pPr>
        </w:p>
      </w:tc>
      <w:tc>
        <w:tcPr>
          <w:tcW w:w="480" w:type="dxa"/>
        </w:tcPr>
        <w:p w14:paraId="5A37FC74" w14:textId="77777777" w:rsidR="00901787" w:rsidRDefault="00901787">
          <w:pPr>
            <w:pStyle w:val="MainText"/>
          </w:pPr>
        </w:p>
      </w:tc>
      <w:tc>
        <w:tcPr>
          <w:tcW w:w="960" w:type="dxa"/>
        </w:tcPr>
        <w:p w14:paraId="30DCC91B" w14:textId="77777777" w:rsidR="00901787" w:rsidRDefault="00901787">
          <w:pPr>
            <w:pStyle w:val="MainText"/>
          </w:pPr>
        </w:p>
      </w:tc>
      <w:tc>
        <w:tcPr>
          <w:tcW w:w="7200" w:type="dxa"/>
        </w:tcPr>
        <w:p w14:paraId="211BD7EB" w14:textId="77777777" w:rsidR="00901787" w:rsidRDefault="00901787">
          <w:pPr>
            <w:pStyle w:val="MainText"/>
            <w:spacing w:line="480" w:lineRule="atLeast"/>
          </w:pPr>
        </w:p>
      </w:tc>
      <w:tc>
        <w:tcPr>
          <w:tcW w:w="960" w:type="dxa"/>
        </w:tcPr>
        <w:p w14:paraId="4437144F" w14:textId="77777777" w:rsidR="00901787" w:rsidRDefault="00901787">
          <w:pPr>
            <w:pStyle w:val="MainText"/>
          </w:pPr>
        </w:p>
      </w:tc>
      <w:tc>
        <w:tcPr>
          <w:tcW w:w="480" w:type="dxa"/>
        </w:tcPr>
        <w:p w14:paraId="1012EE8C" w14:textId="77777777" w:rsidR="00901787" w:rsidRDefault="00901787">
          <w:pPr>
            <w:pStyle w:val="MainText"/>
          </w:pPr>
        </w:p>
      </w:tc>
      <w:tc>
        <w:tcPr>
          <w:tcW w:w="720" w:type="dxa"/>
          <w:tcBorders>
            <w:bottom w:val="single" w:sz="6" w:space="0" w:color="auto"/>
          </w:tcBorders>
        </w:tcPr>
        <w:p w14:paraId="41562E27" w14:textId="77777777" w:rsidR="00901787" w:rsidRDefault="00901787">
          <w:pPr>
            <w:pStyle w:val="MainText"/>
          </w:pPr>
        </w:p>
      </w:tc>
    </w:tr>
    <w:tr w:rsidR="00901787" w14:paraId="52D307DA" w14:textId="77777777">
      <w:trPr>
        <w:cantSplit/>
      </w:trPr>
      <w:tc>
        <w:tcPr>
          <w:tcW w:w="720" w:type="dxa"/>
          <w:tcBorders>
            <w:top w:val="single" w:sz="6" w:space="0" w:color="auto"/>
          </w:tcBorders>
        </w:tcPr>
        <w:p w14:paraId="737CC212" w14:textId="77777777" w:rsidR="00901787" w:rsidRDefault="00901787">
          <w:pPr>
            <w:pStyle w:val="MainText"/>
          </w:pPr>
        </w:p>
      </w:tc>
      <w:tc>
        <w:tcPr>
          <w:tcW w:w="480" w:type="dxa"/>
        </w:tcPr>
        <w:p w14:paraId="142E2BD8" w14:textId="77777777" w:rsidR="00901787" w:rsidRDefault="00901787">
          <w:pPr>
            <w:pStyle w:val="MainText"/>
          </w:pPr>
        </w:p>
      </w:tc>
      <w:tc>
        <w:tcPr>
          <w:tcW w:w="960" w:type="dxa"/>
        </w:tcPr>
        <w:p w14:paraId="4A54C852" w14:textId="77777777" w:rsidR="00901787" w:rsidRDefault="00901787">
          <w:pPr>
            <w:pStyle w:val="MainText"/>
          </w:pPr>
        </w:p>
      </w:tc>
      <w:tc>
        <w:tcPr>
          <w:tcW w:w="7200" w:type="dxa"/>
        </w:tcPr>
        <w:p w14:paraId="3195DD3D" w14:textId="77777777" w:rsidR="00901787" w:rsidRDefault="00901787">
          <w:pPr>
            <w:pStyle w:val="MainText"/>
            <w:spacing w:line="600" w:lineRule="atLeast"/>
          </w:pPr>
        </w:p>
      </w:tc>
      <w:tc>
        <w:tcPr>
          <w:tcW w:w="960" w:type="dxa"/>
        </w:tcPr>
        <w:p w14:paraId="5D5532C4" w14:textId="77777777" w:rsidR="00901787" w:rsidRDefault="00901787">
          <w:pPr>
            <w:pStyle w:val="MainText"/>
          </w:pPr>
        </w:p>
      </w:tc>
      <w:tc>
        <w:tcPr>
          <w:tcW w:w="480" w:type="dxa"/>
        </w:tcPr>
        <w:p w14:paraId="28897F97" w14:textId="77777777" w:rsidR="00901787" w:rsidRDefault="00901787">
          <w:pPr>
            <w:pStyle w:val="MainText"/>
          </w:pPr>
        </w:p>
      </w:tc>
      <w:tc>
        <w:tcPr>
          <w:tcW w:w="720" w:type="dxa"/>
          <w:tcBorders>
            <w:top w:val="single" w:sz="6" w:space="0" w:color="auto"/>
          </w:tcBorders>
        </w:tcPr>
        <w:p w14:paraId="3DF09D65" w14:textId="77777777" w:rsidR="00901787" w:rsidRDefault="00901787">
          <w:pPr>
            <w:pStyle w:val="MainText"/>
          </w:pPr>
        </w:p>
      </w:tc>
    </w:tr>
    <w:tr w:rsidR="00901787" w14:paraId="68F3D2B0" w14:textId="77777777">
      <w:trPr>
        <w:cantSplit/>
      </w:trPr>
      <w:tc>
        <w:tcPr>
          <w:tcW w:w="720" w:type="dxa"/>
        </w:tcPr>
        <w:p w14:paraId="04E12013" w14:textId="77777777" w:rsidR="00901787" w:rsidRDefault="00901787">
          <w:pPr>
            <w:pStyle w:val="MainText"/>
          </w:pPr>
        </w:p>
      </w:tc>
      <w:tc>
        <w:tcPr>
          <w:tcW w:w="480" w:type="dxa"/>
        </w:tcPr>
        <w:p w14:paraId="4B981F44" w14:textId="77777777" w:rsidR="00901787" w:rsidRDefault="00901787">
          <w:pPr>
            <w:pStyle w:val="MainText"/>
          </w:pPr>
        </w:p>
      </w:tc>
      <w:tc>
        <w:tcPr>
          <w:tcW w:w="960" w:type="dxa"/>
        </w:tcPr>
        <w:p w14:paraId="25F44D8B" w14:textId="77777777" w:rsidR="00901787" w:rsidRDefault="00901787">
          <w:pPr>
            <w:pStyle w:val="MainText"/>
          </w:pPr>
        </w:p>
      </w:tc>
      <w:tc>
        <w:tcPr>
          <w:tcW w:w="7200" w:type="dxa"/>
        </w:tcPr>
        <w:p w14:paraId="284F9F2B" w14:textId="77777777" w:rsidR="00901787" w:rsidRDefault="00901787">
          <w:pPr>
            <w:pStyle w:val="Header1"/>
          </w:pPr>
          <w:r>
            <w:t>Leveraging Knowledge Assets to improve New Product Development Performances</w:t>
          </w:r>
          <w:r>
            <w:tab/>
          </w:r>
          <w:r w:rsidR="00FD07C0">
            <w:rPr>
              <w:i w:val="0"/>
              <w:iCs/>
            </w:rPr>
            <w:fldChar w:fldCharType="begin"/>
          </w:r>
          <w:r>
            <w:rPr>
              <w:i w:val="0"/>
              <w:iCs/>
            </w:rPr>
            <w:instrText xml:space="preserve"> PAGE  </w:instrText>
          </w:r>
          <w:r w:rsidR="00FD07C0">
            <w:rPr>
              <w:i w:val="0"/>
              <w:iCs/>
            </w:rPr>
            <w:fldChar w:fldCharType="separate"/>
          </w:r>
          <w:r>
            <w:rPr>
              <w:i w:val="0"/>
              <w:iCs/>
              <w:noProof/>
            </w:rPr>
            <w:t>1</w:t>
          </w:r>
          <w:r w:rsidR="00FD07C0">
            <w:rPr>
              <w:i w:val="0"/>
              <w:iCs/>
            </w:rPr>
            <w:fldChar w:fldCharType="end"/>
          </w:r>
        </w:p>
      </w:tc>
      <w:tc>
        <w:tcPr>
          <w:tcW w:w="960" w:type="dxa"/>
        </w:tcPr>
        <w:p w14:paraId="119A0E04" w14:textId="77777777" w:rsidR="00901787" w:rsidRDefault="00901787">
          <w:pPr>
            <w:pStyle w:val="MainText"/>
          </w:pPr>
        </w:p>
      </w:tc>
      <w:tc>
        <w:tcPr>
          <w:tcW w:w="480" w:type="dxa"/>
        </w:tcPr>
        <w:p w14:paraId="5E185750" w14:textId="77777777" w:rsidR="00901787" w:rsidRDefault="00901787">
          <w:pPr>
            <w:pStyle w:val="MainText"/>
          </w:pPr>
        </w:p>
      </w:tc>
      <w:tc>
        <w:tcPr>
          <w:tcW w:w="720" w:type="dxa"/>
        </w:tcPr>
        <w:p w14:paraId="66DA8A2D" w14:textId="77777777" w:rsidR="00901787" w:rsidRDefault="00901787">
          <w:pPr>
            <w:pStyle w:val="MainText"/>
          </w:pPr>
        </w:p>
      </w:tc>
    </w:tr>
  </w:tbl>
  <w:p w14:paraId="6CE68AD1" w14:textId="77777777" w:rsidR="00901787" w:rsidRDefault="00901787">
    <w:pPr>
      <w:pStyle w:val="Header1"/>
      <w:rPr>
        <w:sz w:val="8"/>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9"/>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000000A"/>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2">
    <w:nsid w:val="0000000B"/>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3">
    <w:nsid w:val="0000000C"/>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0000000D"/>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0000000E"/>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6">
    <w:nsid w:val="0000000F"/>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00000010"/>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8">
    <w:nsid w:val="31443314"/>
    <w:multiLevelType w:val="hybridMultilevel"/>
    <w:tmpl w:val="6C1C066C"/>
    <w:lvl w:ilvl="0" w:tplc="B03EB64E">
      <w:start w:val="1"/>
      <w:numFmt w:val="bullet"/>
      <w:pStyle w:val="Bullets"/>
      <w:lvlText w:val=""/>
      <w:lvlJc w:val="left"/>
      <w:pPr>
        <w:ind w:hanging="360" w:left="648"/>
      </w:pPr>
      <w:rPr>
        <w:rFonts w:ascii="Symbol" w:hAnsi="Symbol" w:hint="default"/>
      </w:rPr>
    </w:lvl>
    <w:lvl w:ilvl="1" w:tentative="1" w:tplc="04090003">
      <w:start w:val="1"/>
      <w:numFmt w:val="bullet"/>
      <w:lvlText w:val="o"/>
      <w:lvlJc w:val="left"/>
      <w:pPr>
        <w:ind w:hanging="360" w:left="1368"/>
      </w:pPr>
      <w:rPr>
        <w:rFonts w:ascii="Courier New" w:cs="Courier New" w:hAnsi="Courier New" w:hint="default"/>
      </w:rPr>
    </w:lvl>
    <w:lvl w:ilvl="2" w:tentative="1" w:tplc="04090005">
      <w:start w:val="1"/>
      <w:numFmt w:val="bullet"/>
      <w:lvlText w:val=""/>
      <w:lvlJc w:val="left"/>
      <w:pPr>
        <w:ind w:hanging="360" w:left="2088"/>
      </w:pPr>
      <w:rPr>
        <w:rFonts w:ascii="Wingdings" w:hAnsi="Wingdings" w:hint="default"/>
      </w:rPr>
    </w:lvl>
    <w:lvl w:ilvl="3" w:tentative="1" w:tplc="04090001">
      <w:start w:val="1"/>
      <w:numFmt w:val="bullet"/>
      <w:lvlText w:val=""/>
      <w:lvlJc w:val="left"/>
      <w:pPr>
        <w:ind w:hanging="360" w:left="2808"/>
      </w:pPr>
      <w:rPr>
        <w:rFonts w:ascii="Symbol" w:hAnsi="Symbol" w:hint="default"/>
      </w:rPr>
    </w:lvl>
    <w:lvl w:ilvl="4" w:tentative="1" w:tplc="04090003">
      <w:start w:val="1"/>
      <w:numFmt w:val="bullet"/>
      <w:lvlText w:val="o"/>
      <w:lvlJc w:val="left"/>
      <w:pPr>
        <w:ind w:hanging="360" w:left="3528"/>
      </w:pPr>
      <w:rPr>
        <w:rFonts w:ascii="Courier New" w:cs="Courier New" w:hAnsi="Courier New" w:hint="default"/>
      </w:rPr>
    </w:lvl>
    <w:lvl w:ilvl="5" w:tentative="1" w:tplc="04090005">
      <w:start w:val="1"/>
      <w:numFmt w:val="bullet"/>
      <w:lvlText w:val=""/>
      <w:lvlJc w:val="left"/>
      <w:pPr>
        <w:ind w:hanging="360" w:left="4248"/>
      </w:pPr>
      <w:rPr>
        <w:rFonts w:ascii="Wingdings" w:hAnsi="Wingdings" w:hint="default"/>
      </w:rPr>
    </w:lvl>
    <w:lvl w:ilvl="6" w:tentative="1" w:tplc="04090001">
      <w:start w:val="1"/>
      <w:numFmt w:val="bullet"/>
      <w:lvlText w:val=""/>
      <w:lvlJc w:val="left"/>
      <w:pPr>
        <w:ind w:hanging="360" w:left="4968"/>
      </w:pPr>
      <w:rPr>
        <w:rFonts w:ascii="Symbol" w:hAnsi="Symbol" w:hint="default"/>
      </w:rPr>
    </w:lvl>
    <w:lvl w:ilvl="7" w:tentative="1" w:tplc="04090003">
      <w:start w:val="1"/>
      <w:numFmt w:val="bullet"/>
      <w:lvlText w:val="o"/>
      <w:lvlJc w:val="left"/>
      <w:pPr>
        <w:ind w:hanging="360" w:left="5688"/>
      </w:pPr>
      <w:rPr>
        <w:rFonts w:ascii="Courier New" w:cs="Courier New" w:hAnsi="Courier New" w:hint="default"/>
      </w:rPr>
    </w:lvl>
    <w:lvl w:ilvl="8" w:tentative="1" w:tplc="04090005">
      <w:start w:val="1"/>
      <w:numFmt w:val="bullet"/>
      <w:lvlText w:val=""/>
      <w:lvlJc w:val="left"/>
      <w:pPr>
        <w:ind w:hanging="360" w:left="6408"/>
      </w:pPr>
      <w:rPr>
        <w:rFonts w:ascii="Wingdings" w:hAnsi="Wingdings" w:hint="default"/>
      </w:rPr>
    </w:lvl>
  </w:abstractNum>
  <w:abstractNum w15:restartNumberingAfterBreak="0" w:abstractNumId="9">
    <w:nsid w:val="39356CB4"/>
    <w:multiLevelType w:val="hybridMultilevel"/>
    <w:tmpl w:val="01D23B46"/>
    <w:lvl w:ilvl="0" w:tplc="0FAEF652">
      <w:start w:val="1"/>
      <w:numFmt w:val="bullet"/>
      <w:pStyle w:val="ListedBullets"/>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3A7D2044"/>
    <w:multiLevelType w:val="hybridMultilevel"/>
    <w:tmpl w:val="12988E30"/>
    <w:lvl w:ilvl="0" w:tplc="04100001">
      <w:start w:val="1"/>
      <w:numFmt w:val="bullet"/>
      <w:lvlText w:val=""/>
      <w:lvlJc w:val="left"/>
      <w:pPr>
        <w:tabs>
          <w:tab w:pos="720" w:val="num"/>
        </w:tabs>
        <w:ind w:hanging="360" w:left="720"/>
      </w:pPr>
      <w:rPr>
        <w:rFonts w:ascii="Symbol" w:hAnsi="Symbol" w:hint="default"/>
      </w:rPr>
    </w:lvl>
    <w:lvl w:ilvl="1" w:tentative="1" w:tplc="04100003">
      <w:start w:val="1"/>
      <w:numFmt w:val="bullet"/>
      <w:lvlText w:val="o"/>
      <w:lvlJc w:val="left"/>
      <w:pPr>
        <w:tabs>
          <w:tab w:pos="1440" w:val="num"/>
        </w:tabs>
        <w:ind w:hanging="360" w:left="1440"/>
      </w:pPr>
      <w:rPr>
        <w:rFonts w:ascii="Courier New" w:cs="Courier New" w:hAnsi="Courier New" w:hint="default"/>
      </w:rPr>
    </w:lvl>
    <w:lvl w:ilvl="2" w:tentative="1" w:tplc="04100005">
      <w:start w:val="1"/>
      <w:numFmt w:val="bullet"/>
      <w:lvlText w:val=""/>
      <w:lvlJc w:val="left"/>
      <w:pPr>
        <w:tabs>
          <w:tab w:pos="2160" w:val="num"/>
        </w:tabs>
        <w:ind w:hanging="360" w:left="2160"/>
      </w:pPr>
      <w:rPr>
        <w:rFonts w:ascii="Wingdings" w:hAnsi="Wingdings" w:hint="default"/>
      </w:rPr>
    </w:lvl>
    <w:lvl w:ilvl="3" w:tentative="1" w:tplc="04100001">
      <w:start w:val="1"/>
      <w:numFmt w:val="bullet"/>
      <w:lvlText w:val=""/>
      <w:lvlJc w:val="left"/>
      <w:pPr>
        <w:tabs>
          <w:tab w:pos="2880" w:val="num"/>
        </w:tabs>
        <w:ind w:hanging="360" w:left="2880"/>
      </w:pPr>
      <w:rPr>
        <w:rFonts w:ascii="Symbol" w:hAnsi="Symbol" w:hint="default"/>
      </w:rPr>
    </w:lvl>
    <w:lvl w:ilvl="4" w:tentative="1" w:tplc="04100003">
      <w:start w:val="1"/>
      <w:numFmt w:val="bullet"/>
      <w:lvlText w:val="o"/>
      <w:lvlJc w:val="left"/>
      <w:pPr>
        <w:tabs>
          <w:tab w:pos="3600" w:val="num"/>
        </w:tabs>
        <w:ind w:hanging="360" w:left="3600"/>
      </w:pPr>
      <w:rPr>
        <w:rFonts w:ascii="Courier New" w:cs="Courier New" w:hAnsi="Courier New" w:hint="default"/>
      </w:rPr>
    </w:lvl>
    <w:lvl w:ilvl="5" w:tentative="1" w:tplc="04100005">
      <w:start w:val="1"/>
      <w:numFmt w:val="bullet"/>
      <w:lvlText w:val=""/>
      <w:lvlJc w:val="left"/>
      <w:pPr>
        <w:tabs>
          <w:tab w:pos="4320" w:val="num"/>
        </w:tabs>
        <w:ind w:hanging="360" w:left="4320"/>
      </w:pPr>
      <w:rPr>
        <w:rFonts w:ascii="Wingdings" w:hAnsi="Wingdings" w:hint="default"/>
      </w:rPr>
    </w:lvl>
    <w:lvl w:ilvl="6" w:tentative="1" w:tplc="04100001">
      <w:start w:val="1"/>
      <w:numFmt w:val="bullet"/>
      <w:lvlText w:val=""/>
      <w:lvlJc w:val="left"/>
      <w:pPr>
        <w:tabs>
          <w:tab w:pos="5040" w:val="num"/>
        </w:tabs>
        <w:ind w:hanging="360" w:left="5040"/>
      </w:pPr>
      <w:rPr>
        <w:rFonts w:ascii="Symbol" w:hAnsi="Symbol" w:hint="default"/>
      </w:rPr>
    </w:lvl>
    <w:lvl w:ilvl="7" w:tentative="1" w:tplc="04100003">
      <w:start w:val="1"/>
      <w:numFmt w:val="bullet"/>
      <w:lvlText w:val="o"/>
      <w:lvlJc w:val="left"/>
      <w:pPr>
        <w:tabs>
          <w:tab w:pos="5760" w:val="num"/>
        </w:tabs>
        <w:ind w:hanging="360" w:left="5760"/>
      </w:pPr>
      <w:rPr>
        <w:rFonts w:ascii="Courier New" w:cs="Courier New" w:hAnsi="Courier New" w:hint="default"/>
      </w:rPr>
    </w:lvl>
    <w:lvl w:ilvl="8" w:tentative="1" w:tplc="0410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3E226333"/>
    <w:multiLevelType w:val="hybridMultilevel"/>
    <w:tmpl w:val="7CF8A898"/>
    <w:lvl w:ilvl="0" w:tplc="04100013">
      <w:start w:val="1"/>
      <w:numFmt w:val="upperRoman"/>
      <w:lvlText w:val="%1."/>
      <w:lvlJc w:val="right"/>
      <w:pPr>
        <w:tabs>
          <w:tab w:pos="840" w:val="num"/>
        </w:tabs>
        <w:ind w:hanging="180" w:left="840"/>
      </w:pPr>
    </w:lvl>
    <w:lvl w:ilvl="1" w:tentative="1" w:tplc="04100019">
      <w:start w:val="1"/>
      <w:numFmt w:val="lowerLetter"/>
      <w:lvlText w:val="%2."/>
      <w:lvlJc w:val="left"/>
      <w:pPr>
        <w:tabs>
          <w:tab w:pos="1740" w:val="num"/>
        </w:tabs>
        <w:ind w:hanging="360" w:left="1740"/>
      </w:pPr>
    </w:lvl>
    <w:lvl w:ilvl="2" w:tentative="1" w:tplc="0410001B">
      <w:start w:val="1"/>
      <w:numFmt w:val="lowerRoman"/>
      <w:lvlText w:val="%3."/>
      <w:lvlJc w:val="right"/>
      <w:pPr>
        <w:tabs>
          <w:tab w:pos="2460" w:val="num"/>
        </w:tabs>
        <w:ind w:hanging="180" w:left="2460"/>
      </w:pPr>
    </w:lvl>
    <w:lvl w:ilvl="3" w:tentative="1" w:tplc="0410000F">
      <w:start w:val="1"/>
      <w:numFmt w:val="decimal"/>
      <w:lvlText w:val="%4."/>
      <w:lvlJc w:val="left"/>
      <w:pPr>
        <w:tabs>
          <w:tab w:pos="3180" w:val="num"/>
        </w:tabs>
        <w:ind w:hanging="360" w:left="3180"/>
      </w:pPr>
    </w:lvl>
    <w:lvl w:ilvl="4" w:tentative="1" w:tplc="04100019">
      <w:start w:val="1"/>
      <w:numFmt w:val="lowerLetter"/>
      <w:lvlText w:val="%5."/>
      <w:lvlJc w:val="left"/>
      <w:pPr>
        <w:tabs>
          <w:tab w:pos="3900" w:val="num"/>
        </w:tabs>
        <w:ind w:hanging="360" w:left="3900"/>
      </w:pPr>
    </w:lvl>
    <w:lvl w:ilvl="5" w:tentative="1" w:tplc="0410001B">
      <w:start w:val="1"/>
      <w:numFmt w:val="lowerRoman"/>
      <w:lvlText w:val="%6."/>
      <w:lvlJc w:val="right"/>
      <w:pPr>
        <w:tabs>
          <w:tab w:pos="4620" w:val="num"/>
        </w:tabs>
        <w:ind w:hanging="180" w:left="4620"/>
      </w:pPr>
    </w:lvl>
    <w:lvl w:ilvl="6" w:tentative="1" w:tplc="0410000F">
      <w:start w:val="1"/>
      <w:numFmt w:val="decimal"/>
      <w:lvlText w:val="%7."/>
      <w:lvlJc w:val="left"/>
      <w:pPr>
        <w:tabs>
          <w:tab w:pos="5340" w:val="num"/>
        </w:tabs>
        <w:ind w:hanging="360" w:left="5340"/>
      </w:pPr>
    </w:lvl>
    <w:lvl w:ilvl="7" w:tentative="1" w:tplc="04100019">
      <w:start w:val="1"/>
      <w:numFmt w:val="lowerLetter"/>
      <w:lvlText w:val="%8."/>
      <w:lvlJc w:val="left"/>
      <w:pPr>
        <w:tabs>
          <w:tab w:pos="6060" w:val="num"/>
        </w:tabs>
        <w:ind w:hanging="360" w:left="6060"/>
      </w:pPr>
    </w:lvl>
    <w:lvl w:ilvl="8" w:tentative="1" w:tplc="0410001B">
      <w:start w:val="1"/>
      <w:numFmt w:val="lowerRoman"/>
      <w:lvlText w:val="%9."/>
      <w:lvlJc w:val="right"/>
      <w:pPr>
        <w:tabs>
          <w:tab w:pos="6780" w:val="num"/>
        </w:tabs>
        <w:ind w:hanging="180" w:left="6780"/>
      </w:pPr>
    </w:lvl>
  </w:abstractNum>
  <w:abstractNum w15:restartNumberingAfterBreak="0" w:abstractNumId="12">
    <w:nsid w:val="4915601B"/>
    <w:multiLevelType w:val="hybridMultilevel"/>
    <w:tmpl w:val="9FAE60D4"/>
    <w:lvl w:ilvl="0" w:tplc="C87E3C70">
      <w:start w:val="1"/>
      <w:numFmt w:val="decimal"/>
      <w:lvlText w:val="%1"/>
      <w:lvlJc w:val="left"/>
      <w:pPr>
        <w:tabs>
          <w:tab w:pos="360" w:val="num"/>
        </w:tabs>
        <w:ind w:hanging="360" w:left="360"/>
      </w:pPr>
      <w:rPr>
        <w:rFonts w:hint="default"/>
        <w:b/>
        <w:i w:val="0"/>
      </w:rPr>
    </w:lvl>
    <w:lvl w:ilvl="1" w:tentative="1" w:tplc="04100019">
      <w:start w:val="1"/>
      <w:numFmt w:val="lowerLetter"/>
      <w:lvlText w:val="%2."/>
      <w:lvlJc w:val="left"/>
      <w:pPr>
        <w:tabs>
          <w:tab w:pos="1080" w:val="num"/>
        </w:tabs>
        <w:ind w:hanging="360" w:left="1080"/>
      </w:pPr>
    </w:lvl>
    <w:lvl w:ilvl="2" w:tentative="1" w:tplc="0410001B">
      <w:start w:val="1"/>
      <w:numFmt w:val="lowerRoman"/>
      <w:lvlText w:val="%3."/>
      <w:lvlJc w:val="right"/>
      <w:pPr>
        <w:tabs>
          <w:tab w:pos="1800" w:val="num"/>
        </w:tabs>
        <w:ind w:hanging="180" w:left="1800"/>
      </w:pPr>
    </w:lvl>
    <w:lvl w:ilvl="3" w:tentative="1" w:tplc="0410000F">
      <w:start w:val="1"/>
      <w:numFmt w:val="decimal"/>
      <w:lvlText w:val="%4."/>
      <w:lvlJc w:val="left"/>
      <w:pPr>
        <w:tabs>
          <w:tab w:pos="2520" w:val="num"/>
        </w:tabs>
        <w:ind w:hanging="360" w:left="2520"/>
      </w:pPr>
    </w:lvl>
    <w:lvl w:ilvl="4" w:tentative="1" w:tplc="04100019">
      <w:start w:val="1"/>
      <w:numFmt w:val="lowerLetter"/>
      <w:lvlText w:val="%5."/>
      <w:lvlJc w:val="left"/>
      <w:pPr>
        <w:tabs>
          <w:tab w:pos="3240" w:val="num"/>
        </w:tabs>
        <w:ind w:hanging="360" w:left="3240"/>
      </w:pPr>
    </w:lvl>
    <w:lvl w:ilvl="5" w:tentative="1" w:tplc="0410001B">
      <w:start w:val="1"/>
      <w:numFmt w:val="lowerRoman"/>
      <w:lvlText w:val="%6."/>
      <w:lvlJc w:val="right"/>
      <w:pPr>
        <w:tabs>
          <w:tab w:pos="3960" w:val="num"/>
        </w:tabs>
        <w:ind w:hanging="180" w:left="3960"/>
      </w:pPr>
    </w:lvl>
    <w:lvl w:ilvl="6" w:tentative="1" w:tplc="0410000F">
      <w:start w:val="1"/>
      <w:numFmt w:val="decimal"/>
      <w:lvlText w:val="%7."/>
      <w:lvlJc w:val="left"/>
      <w:pPr>
        <w:tabs>
          <w:tab w:pos="4680" w:val="num"/>
        </w:tabs>
        <w:ind w:hanging="360" w:left="4680"/>
      </w:pPr>
    </w:lvl>
    <w:lvl w:ilvl="7" w:tentative="1" w:tplc="04100019">
      <w:start w:val="1"/>
      <w:numFmt w:val="lowerLetter"/>
      <w:lvlText w:val="%8."/>
      <w:lvlJc w:val="left"/>
      <w:pPr>
        <w:tabs>
          <w:tab w:pos="5400" w:val="num"/>
        </w:tabs>
        <w:ind w:hanging="360" w:left="5400"/>
      </w:pPr>
    </w:lvl>
    <w:lvl w:ilvl="8" w:tentative="1" w:tplc="0410001B">
      <w:start w:val="1"/>
      <w:numFmt w:val="lowerRoman"/>
      <w:lvlText w:val="%9."/>
      <w:lvlJc w:val="right"/>
      <w:pPr>
        <w:tabs>
          <w:tab w:pos="6120" w:val="num"/>
        </w:tabs>
        <w:ind w:hanging="180" w:left="6120"/>
      </w:pPr>
    </w:lvl>
  </w:abstractNum>
  <w:abstractNum w15:restartNumberingAfterBreak="0" w:abstractNumId="13">
    <w:nsid w:val="4E457FEE"/>
    <w:multiLevelType w:val="hybridMultilevel"/>
    <w:tmpl w:val="538EFD50"/>
    <w:lvl w:ilvl="0" w:tplc="0E0A0DE0">
      <w:start w:val="1"/>
      <w:numFmt w:val="bullet"/>
      <w:lvlText w:val=""/>
      <w:lvlJc w:val="left"/>
      <w:pPr>
        <w:tabs>
          <w:tab w:pos="360" w:val="num"/>
        </w:tabs>
        <w:ind w:hanging="360" w:left="360"/>
      </w:pPr>
      <w:rPr>
        <w:rFonts w:ascii="Symbol" w:hAnsi="Symbol" w:hint="default"/>
        <w:sz w:val="20"/>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50A5218F"/>
    <w:multiLevelType w:val="hybridMultilevel"/>
    <w:tmpl w:val="2AF8DA7C"/>
    <w:lvl w:ilvl="0" w:tplc="04100001">
      <w:start w:val="1"/>
      <w:numFmt w:val="bullet"/>
      <w:lvlText w:val=""/>
      <w:lvlJc w:val="left"/>
      <w:pPr>
        <w:tabs>
          <w:tab w:pos="1020" w:val="num"/>
        </w:tabs>
        <w:ind w:hanging="360" w:left="1020"/>
      </w:pPr>
      <w:rPr>
        <w:rFonts w:ascii="Symbol" w:hAnsi="Symbol" w:hint="default"/>
      </w:rPr>
    </w:lvl>
    <w:lvl w:ilvl="1" w:tentative="1" w:tplc="04100003">
      <w:start w:val="1"/>
      <w:numFmt w:val="bullet"/>
      <w:lvlText w:val="o"/>
      <w:lvlJc w:val="left"/>
      <w:pPr>
        <w:tabs>
          <w:tab w:pos="1740" w:val="num"/>
        </w:tabs>
        <w:ind w:hanging="360" w:left="1740"/>
      </w:pPr>
      <w:rPr>
        <w:rFonts w:ascii="Courier New" w:cs="Courier New" w:hAnsi="Courier New" w:hint="default"/>
      </w:rPr>
    </w:lvl>
    <w:lvl w:ilvl="2" w:tentative="1" w:tplc="04100005">
      <w:start w:val="1"/>
      <w:numFmt w:val="bullet"/>
      <w:lvlText w:val=""/>
      <w:lvlJc w:val="left"/>
      <w:pPr>
        <w:tabs>
          <w:tab w:pos="2460" w:val="num"/>
        </w:tabs>
        <w:ind w:hanging="360" w:left="2460"/>
      </w:pPr>
      <w:rPr>
        <w:rFonts w:ascii="Wingdings" w:hAnsi="Wingdings" w:hint="default"/>
      </w:rPr>
    </w:lvl>
    <w:lvl w:ilvl="3" w:tentative="1" w:tplc="04100001">
      <w:start w:val="1"/>
      <w:numFmt w:val="bullet"/>
      <w:lvlText w:val=""/>
      <w:lvlJc w:val="left"/>
      <w:pPr>
        <w:tabs>
          <w:tab w:pos="3180" w:val="num"/>
        </w:tabs>
        <w:ind w:hanging="360" w:left="3180"/>
      </w:pPr>
      <w:rPr>
        <w:rFonts w:ascii="Symbol" w:hAnsi="Symbol" w:hint="default"/>
      </w:rPr>
    </w:lvl>
    <w:lvl w:ilvl="4" w:tentative="1" w:tplc="04100003">
      <w:start w:val="1"/>
      <w:numFmt w:val="bullet"/>
      <w:lvlText w:val="o"/>
      <w:lvlJc w:val="left"/>
      <w:pPr>
        <w:tabs>
          <w:tab w:pos="3900" w:val="num"/>
        </w:tabs>
        <w:ind w:hanging="360" w:left="3900"/>
      </w:pPr>
      <w:rPr>
        <w:rFonts w:ascii="Courier New" w:cs="Courier New" w:hAnsi="Courier New" w:hint="default"/>
      </w:rPr>
    </w:lvl>
    <w:lvl w:ilvl="5" w:tentative="1" w:tplc="04100005">
      <w:start w:val="1"/>
      <w:numFmt w:val="bullet"/>
      <w:lvlText w:val=""/>
      <w:lvlJc w:val="left"/>
      <w:pPr>
        <w:tabs>
          <w:tab w:pos="4620" w:val="num"/>
        </w:tabs>
        <w:ind w:hanging="360" w:left="4620"/>
      </w:pPr>
      <w:rPr>
        <w:rFonts w:ascii="Wingdings" w:hAnsi="Wingdings" w:hint="default"/>
      </w:rPr>
    </w:lvl>
    <w:lvl w:ilvl="6" w:tentative="1" w:tplc="04100001">
      <w:start w:val="1"/>
      <w:numFmt w:val="bullet"/>
      <w:lvlText w:val=""/>
      <w:lvlJc w:val="left"/>
      <w:pPr>
        <w:tabs>
          <w:tab w:pos="5340" w:val="num"/>
        </w:tabs>
        <w:ind w:hanging="360" w:left="5340"/>
      </w:pPr>
      <w:rPr>
        <w:rFonts w:ascii="Symbol" w:hAnsi="Symbol" w:hint="default"/>
      </w:rPr>
    </w:lvl>
    <w:lvl w:ilvl="7" w:tentative="1" w:tplc="04100003">
      <w:start w:val="1"/>
      <w:numFmt w:val="bullet"/>
      <w:lvlText w:val="o"/>
      <w:lvlJc w:val="left"/>
      <w:pPr>
        <w:tabs>
          <w:tab w:pos="6060" w:val="num"/>
        </w:tabs>
        <w:ind w:hanging="360" w:left="6060"/>
      </w:pPr>
      <w:rPr>
        <w:rFonts w:ascii="Courier New" w:cs="Courier New" w:hAnsi="Courier New" w:hint="default"/>
      </w:rPr>
    </w:lvl>
    <w:lvl w:ilvl="8" w:tentative="1" w:tplc="04100005">
      <w:start w:val="1"/>
      <w:numFmt w:val="bullet"/>
      <w:lvlText w:val=""/>
      <w:lvlJc w:val="left"/>
      <w:pPr>
        <w:tabs>
          <w:tab w:pos="6780" w:val="num"/>
        </w:tabs>
        <w:ind w:hanging="360" w:left="6780"/>
      </w:pPr>
      <w:rPr>
        <w:rFonts w:ascii="Wingdings" w:hAnsi="Wingdings" w:hint="default"/>
      </w:rPr>
    </w:lvl>
  </w:abstractNum>
  <w:abstractNum w15:restartNumberingAfterBreak="0" w:abstractNumId="15">
    <w:nsid w:val="731E23B3"/>
    <w:multiLevelType w:val="multilevel"/>
    <w:tmpl w:val="DFBE1C66"/>
    <w:lvl w:ilvl="0">
      <w:start w:val="1"/>
      <w:numFmt w:val="decimal"/>
      <w:lvlText w:val="%1."/>
      <w:lvlJc w:val="left"/>
      <w:pPr>
        <w:tabs>
          <w:tab w:pos="1020" w:val="num"/>
        </w:tabs>
        <w:ind w:hanging="360" w:left="1020"/>
      </w:pPr>
    </w:lvl>
    <w:lvl w:ilvl="1">
      <w:start w:val="1"/>
      <w:numFmt w:val="lowerLetter"/>
      <w:lvlText w:val="%2."/>
      <w:lvlJc w:val="left"/>
      <w:pPr>
        <w:tabs>
          <w:tab w:pos="1740" w:val="num"/>
        </w:tabs>
        <w:ind w:hanging="360" w:left="1740"/>
      </w:pPr>
    </w:lvl>
    <w:lvl w:ilvl="2">
      <w:start w:val="1"/>
      <w:numFmt w:val="lowerRoman"/>
      <w:lvlText w:val="%3."/>
      <w:lvlJc w:val="right"/>
      <w:pPr>
        <w:tabs>
          <w:tab w:pos="2460" w:val="num"/>
        </w:tabs>
        <w:ind w:hanging="180" w:left="2460"/>
      </w:pPr>
    </w:lvl>
    <w:lvl w:ilvl="3">
      <w:start w:val="1"/>
      <w:numFmt w:val="decimal"/>
      <w:lvlText w:val="%4."/>
      <w:lvlJc w:val="left"/>
      <w:pPr>
        <w:tabs>
          <w:tab w:pos="3180" w:val="num"/>
        </w:tabs>
        <w:ind w:hanging="360" w:left="3180"/>
      </w:pPr>
    </w:lvl>
    <w:lvl w:ilvl="4">
      <w:start w:val="1"/>
      <w:numFmt w:val="lowerLetter"/>
      <w:lvlText w:val="%5."/>
      <w:lvlJc w:val="left"/>
      <w:pPr>
        <w:tabs>
          <w:tab w:pos="3900" w:val="num"/>
        </w:tabs>
        <w:ind w:hanging="360" w:left="3900"/>
      </w:pPr>
    </w:lvl>
    <w:lvl w:ilvl="5">
      <w:start w:val="1"/>
      <w:numFmt w:val="lowerRoman"/>
      <w:lvlText w:val="%6."/>
      <w:lvlJc w:val="right"/>
      <w:pPr>
        <w:tabs>
          <w:tab w:pos="4620" w:val="num"/>
        </w:tabs>
        <w:ind w:hanging="180" w:left="4620"/>
      </w:pPr>
    </w:lvl>
    <w:lvl w:ilvl="6">
      <w:start w:val="1"/>
      <w:numFmt w:val="decimal"/>
      <w:lvlText w:val="%7."/>
      <w:lvlJc w:val="left"/>
      <w:pPr>
        <w:tabs>
          <w:tab w:pos="5340" w:val="num"/>
        </w:tabs>
        <w:ind w:hanging="360" w:left="5340"/>
      </w:pPr>
    </w:lvl>
    <w:lvl w:ilvl="7">
      <w:start w:val="1"/>
      <w:numFmt w:val="lowerLetter"/>
      <w:lvlText w:val="%8."/>
      <w:lvlJc w:val="left"/>
      <w:pPr>
        <w:tabs>
          <w:tab w:pos="6060" w:val="num"/>
        </w:tabs>
        <w:ind w:hanging="360" w:left="6060"/>
      </w:pPr>
    </w:lvl>
    <w:lvl w:ilvl="8">
      <w:start w:val="1"/>
      <w:numFmt w:val="lowerRoman"/>
      <w:lvlText w:val="%9."/>
      <w:lvlJc w:val="right"/>
      <w:pPr>
        <w:tabs>
          <w:tab w:pos="6780" w:val="num"/>
        </w:tabs>
        <w:ind w:hanging="180" w:left="6780"/>
      </w:pPr>
    </w:lvl>
  </w:abstractNum>
  <w:abstractNum w15:restartNumberingAfterBreak="0" w:abstractNumId="16">
    <w:nsid w:val="7D6A2A2A"/>
    <w:multiLevelType w:val="hybridMultilevel"/>
    <w:tmpl w:val="6DA26EE6"/>
    <w:lvl w:ilvl="0" w:tplc="94FE67E4">
      <w:start w:val="1"/>
      <w:numFmt w:val="upperRoman"/>
      <w:lvlText w:val="%1."/>
      <w:lvlJc w:val="left"/>
      <w:pPr>
        <w:tabs>
          <w:tab w:pos="540" w:val="num"/>
        </w:tabs>
        <w:ind w:hanging="180" w:left="540"/>
      </w:pPr>
      <w:rPr>
        <w:rFonts w:hint="default"/>
      </w:rPr>
    </w:lvl>
    <w:lvl w:ilvl="1" w:tentative="1" w:tplc="04100019">
      <w:start w:val="1"/>
      <w:numFmt w:val="lowerLetter"/>
      <w:lvlText w:val="%2."/>
      <w:lvlJc w:val="left"/>
      <w:pPr>
        <w:tabs>
          <w:tab w:pos="1440" w:val="num"/>
        </w:tabs>
        <w:ind w:hanging="360" w:left="1440"/>
      </w:pPr>
    </w:lvl>
    <w:lvl w:ilvl="2" w:tentative="1" w:tplc="0410001B">
      <w:start w:val="1"/>
      <w:numFmt w:val="lowerRoman"/>
      <w:lvlText w:val="%3."/>
      <w:lvlJc w:val="right"/>
      <w:pPr>
        <w:tabs>
          <w:tab w:pos="2160" w:val="num"/>
        </w:tabs>
        <w:ind w:hanging="180" w:left="2160"/>
      </w:pPr>
    </w:lvl>
    <w:lvl w:ilvl="3" w:tentative="1" w:tplc="0410000F">
      <w:start w:val="1"/>
      <w:numFmt w:val="decimal"/>
      <w:lvlText w:val="%4."/>
      <w:lvlJc w:val="left"/>
      <w:pPr>
        <w:tabs>
          <w:tab w:pos="2880" w:val="num"/>
        </w:tabs>
        <w:ind w:hanging="360" w:left="2880"/>
      </w:pPr>
    </w:lvl>
    <w:lvl w:ilvl="4" w:tentative="1" w:tplc="04100019">
      <w:start w:val="1"/>
      <w:numFmt w:val="lowerLetter"/>
      <w:lvlText w:val="%5."/>
      <w:lvlJc w:val="left"/>
      <w:pPr>
        <w:tabs>
          <w:tab w:pos="3600" w:val="num"/>
        </w:tabs>
        <w:ind w:hanging="360" w:left="3600"/>
      </w:pPr>
    </w:lvl>
    <w:lvl w:ilvl="5" w:tentative="1" w:tplc="0410001B">
      <w:start w:val="1"/>
      <w:numFmt w:val="lowerRoman"/>
      <w:lvlText w:val="%6."/>
      <w:lvlJc w:val="right"/>
      <w:pPr>
        <w:tabs>
          <w:tab w:pos="4320" w:val="num"/>
        </w:tabs>
        <w:ind w:hanging="180" w:left="4320"/>
      </w:pPr>
    </w:lvl>
    <w:lvl w:ilvl="6" w:tentative="1" w:tplc="0410000F">
      <w:start w:val="1"/>
      <w:numFmt w:val="decimal"/>
      <w:lvlText w:val="%7."/>
      <w:lvlJc w:val="left"/>
      <w:pPr>
        <w:tabs>
          <w:tab w:pos="5040" w:val="num"/>
        </w:tabs>
        <w:ind w:hanging="360" w:left="5040"/>
      </w:pPr>
    </w:lvl>
    <w:lvl w:ilvl="7" w:tentative="1" w:tplc="04100019">
      <w:start w:val="1"/>
      <w:numFmt w:val="lowerLetter"/>
      <w:lvlText w:val="%8."/>
      <w:lvlJc w:val="left"/>
      <w:pPr>
        <w:tabs>
          <w:tab w:pos="5760" w:val="num"/>
        </w:tabs>
        <w:ind w:hanging="360" w:left="5760"/>
      </w:pPr>
    </w:lvl>
    <w:lvl w:ilvl="8" w:tentative="1" w:tplc="0410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59963" w:numId="1">
    <w:abstractNumId w:val="0"/>
  </w:num>
  <w:num w16cid:durableId="410204770" w:numId="2">
    <w:abstractNumId w:val="1"/>
  </w:num>
  <w:num w16cid:durableId="1972440063" w:numId="3">
    <w:abstractNumId w:val="2"/>
  </w:num>
  <w:num w16cid:durableId="1879512453" w:numId="4">
    <w:abstractNumId w:val="3"/>
  </w:num>
  <w:num w16cid:durableId="116334993" w:numId="5">
    <w:abstractNumId w:val="4"/>
  </w:num>
  <w:num w16cid:durableId="1173570870" w:numId="6">
    <w:abstractNumId w:val="5"/>
  </w:num>
  <w:num w16cid:durableId="1128667387" w:numId="7">
    <w:abstractNumId w:val="6"/>
  </w:num>
  <w:num w16cid:durableId="422800505" w:numId="8">
    <w:abstractNumId w:val="7"/>
  </w:num>
  <w:num w16cid:durableId="1157696694" w:numId="9">
    <w:abstractNumId w:val="13"/>
  </w:num>
  <w:num w16cid:durableId="40788835" w:numId="10">
    <w:abstractNumId w:val="9"/>
  </w:num>
  <w:num w16cid:durableId="815949312" w:numId="11">
    <w:abstractNumId w:val="10"/>
  </w:num>
  <w:num w16cid:durableId="1539511615" w:numId="12">
    <w:abstractNumId w:val="16"/>
  </w:num>
  <w:num w16cid:durableId="1892576566" w:numId="13">
    <w:abstractNumId w:val="11"/>
  </w:num>
  <w:num w16cid:durableId="175464011" w:numId="14">
    <w:abstractNumId w:val="15"/>
  </w:num>
  <w:num w16cid:durableId="1192377969" w:numId="15">
    <w:abstractNumId w:val="12"/>
  </w:num>
  <w:num w16cid:durableId="1923444865" w:numId="16">
    <w:abstractNumId w:val="14"/>
  </w:num>
  <w:num w16cid:durableId="1613241877" w:numId="17">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intFractionalCharacterWidth/>
  <w:embedSystemFonts/>
  <w:bordersDoNotSurroundHeader/>
  <w:bordersDoNotSurroundFooter/>
  <w:proofState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AC"/>
    <w:rsid w:val="0002461A"/>
    <w:rsid w:val="000B0FD1"/>
    <w:rsid w:val="000C0C13"/>
    <w:rsid w:val="00126C0D"/>
    <w:rsid w:val="00133180"/>
    <w:rsid w:val="00137777"/>
    <w:rsid w:val="001504CE"/>
    <w:rsid w:val="00175369"/>
    <w:rsid w:val="00190426"/>
    <w:rsid w:val="001A74A6"/>
    <w:rsid w:val="001F13DE"/>
    <w:rsid w:val="001F1CA7"/>
    <w:rsid w:val="002134A7"/>
    <w:rsid w:val="00290478"/>
    <w:rsid w:val="002C1AA5"/>
    <w:rsid w:val="00313468"/>
    <w:rsid w:val="00331D59"/>
    <w:rsid w:val="0036776F"/>
    <w:rsid w:val="003D2194"/>
    <w:rsid w:val="003F1121"/>
    <w:rsid w:val="003F18DD"/>
    <w:rsid w:val="00423AF9"/>
    <w:rsid w:val="0046140D"/>
    <w:rsid w:val="004969FA"/>
    <w:rsid w:val="004A4466"/>
    <w:rsid w:val="004B39FB"/>
    <w:rsid w:val="005551C5"/>
    <w:rsid w:val="0055568F"/>
    <w:rsid w:val="005565DD"/>
    <w:rsid w:val="005A1577"/>
    <w:rsid w:val="005A540C"/>
    <w:rsid w:val="005F0210"/>
    <w:rsid w:val="00616458"/>
    <w:rsid w:val="00622DD6"/>
    <w:rsid w:val="00654E91"/>
    <w:rsid w:val="00672DB9"/>
    <w:rsid w:val="00692700"/>
    <w:rsid w:val="006C46E1"/>
    <w:rsid w:val="0070138C"/>
    <w:rsid w:val="00706307"/>
    <w:rsid w:val="007A15B7"/>
    <w:rsid w:val="007A27C1"/>
    <w:rsid w:val="00822174"/>
    <w:rsid w:val="008A6B7C"/>
    <w:rsid w:val="008B1E62"/>
    <w:rsid w:val="008D17DC"/>
    <w:rsid w:val="00901787"/>
    <w:rsid w:val="009037AC"/>
    <w:rsid w:val="00905965"/>
    <w:rsid w:val="00963563"/>
    <w:rsid w:val="009B430A"/>
    <w:rsid w:val="009D4409"/>
    <w:rsid w:val="00A61FB2"/>
    <w:rsid w:val="00AB1937"/>
    <w:rsid w:val="00AF3E33"/>
    <w:rsid w:val="00B43C15"/>
    <w:rsid w:val="00B705AD"/>
    <w:rsid w:val="00B92A34"/>
    <w:rsid w:val="00BF65E1"/>
    <w:rsid w:val="00C60E72"/>
    <w:rsid w:val="00C61531"/>
    <w:rsid w:val="00CB6ACC"/>
    <w:rsid w:val="00D92A7C"/>
    <w:rsid w:val="00DC4773"/>
    <w:rsid w:val="00E24FB7"/>
    <w:rsid w:val="00E62129"/>
    <w:rsid w:val="00E70FF5"/>
    <w:rsid w:val="00EA6AD3"/>
    <w:rsid w:val="00EC72AE"/>
    <w:rsid w:val="00EC760F"/>
    <w:rsid w:val="00ED7927"/>
    <w:rsid w:val="00F070BE"/>
    <w:rsid w:val="00F439B2"/>
    <w:rsid w:val="00F61104"/>
    <w:rsid w:val="00F6656D"/>
    <w:rsid w:val="00F73238"/>
    <w:rsid w:val="00FA716E"/>
    <w:rsid w:val="00FD07C0"/>
    <w:rsid w:val="00FD2337"/>
    <w:rsid w:val="00FE1E92"/>
    <w:rsid w:val="00FE6D93"/>
    <w:rsid w:val="00FF750B"/>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cs="Times New Roman" w:eastAsia="Times New Roman" w:hAnsi="New York"/>
        <w:lang w:bidi="ar-SA" w:eastAsia="it-IT" w:val="it-IT"/>
      </w:rPr>
    </w:rPrDefault>
    <w:pPrDefault/>
  </w:docDefaults>
  <w:latentStyles w:count="376" w:defLockedState="0" w:defQFormat="0" w:defSemiHidden="0" w:defUIPriority="0" w:defUnhideWhenUsed="0">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60E72"/>
    <w:rPr>
      <w:rFonts w:ascii="Times New Roman" w:hAnsi="Times New Roman"/>
      <w:sz w:val="24"/>
      <w:szCs w:val="24"/>
      <w:lang w:eastAsia="en-US" w:val="en-GB"/>
    </w:rPr>
  </w:style>
  <w:style w:styleId="Heading1" w:type="paragraph">
    <w:name w:val="heading 1"/>
    <w:basedOn w:val="Normal"/>
    <w:next w:val="FirstPara"/>
    <w:rsid w:val="00290478"/>
    <w:pPr>
      <w:keepNext/>
      <w:tabs>
        <w:tab w:pos="357" w:val="left"/>
      </w:tabs>
      <w:spacing w:after="120" w:before="480" w:line="240" w:lineRule="atLeast"/>
      <w:ind w:hanging="357" w:left="357"/>
      <w:outlineLvl w:val="0"/>
    </w:pPr>
    <w:rPr>
      <w:rFonts w:cs="Arial"/>
      <w:b/>
      <w:bCs/>
      <w:kern w:val="32"/>
      <w:sz w:val="22"/>
      <w:szCs w:val="32"/>
    </w:rPr>
  </w:style>
  <w:style w:styleId="Heading2" w:type="paragraph">
    <w:name w:val="heading 2"/>
    <w:basedOn w:val="Normal"/>
    <w:next w:val="FirstPara"/>
    <w:rsid w:val="00290478"/>
    <w:pPr>
      <w:keepNext/>
      <w:tabs>
        <w:tab w:pos="482" w:val="left"/>
      </w:tabs>
      <w:spacing w:after="60" w:before="300" w:line="240" w:lineRule="atLeast"/>
      <w:ind w:hanging="482" w:left="482"/>
      <w:outlineLvl w:val="1"/>
    </w:pPr>
    <w:rPr>
      <w:rFonts w:cs="Arial"/>
      <w:bCs/>
      <w:i/>
      <w:iCs/>
      <w:sz w:val="22"/>
      <w:szCs w:val="28"/>
    </w:rPr>
  </w:style>
  <w:style w:styleId="Heading3" w:type="paragraph">
    <w:name w:val="heading 3"/>
    <w:basedOn w:val="Normal"/>
    <w:next w:val="Normal"/>
    <w:rsid w:val="00290478"/>
    <w:pPr>
      <w:keepNext/>
      <w:autoSpaceDE w:val="0"/>
      <w:autoSpaceDN w:val="0"/>
      <w:adjustRightInd w:val="0"/>
      <w:outlineLvl w:val="2"/>
    </w:pPr>
    <w:rPr>
      <w:b/>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MainText"/>
    <w:rsid w:val="00290478"/>
    <w:pPr>
      <w:tabs>
        <w:tab w:pos="960" w:val="left"/>
        <w:tab w:pos="9000" w:val="right"/>
      </w:tabs>
      <w:spacing w:line="240" w:lineRule="auto"/>
      <w:ind w:firstLine="0"/>
      <w:jc w:val="left"/>
    </w:pPr>
    <w:rPr>
      <w:sz w:val="18"/>
    </w:rPr>
  </w:style>
  <w:style w:customStyle="1" w:styleId="MainText" w:type="paragraph">
    <w:name w:val="MainText"/>
    <w:aliases w:val="MT,MT Carattere,MainText1 Carattere,MainText2,MT Carattere1 Carattere Carattere"/>
    <w:basedOn w:val="FirstPara"/>
    <w:rsid w:val="00290478"/>
    <w:pPr>
      <w:spacing w:before="0"/>
      <w:ind w:firstLine="300"/>
    </w:pPr>
  </w:style>
  <w:style w:customStyle="1" w:styleId="FirstPara" w:type="paragraph">
    <w:name w:val="FirstPara"/>
    <w:aliases w:val="FP"/>
    <w:basedOn w:val="Normal"/>
    <w:next w:val="MainText"/>
    <w:rsid w:val="00290478"/>
    <w:pPr>
      <w:spacing w:before="120" w:line="240" w:lineRule="atLeast"/>
      <w:jc w:val="both"/>
    </w:pPr>
    <w:rPr>
      <w:sz w:val="20"/>
    </w:rPr>
  </w:style>
  <w:style w:styleId="Header" w:type="paragraph">
    <w:name w:val="header"/>
    <w:basedOn w:val="Normal"/>
    <w:rsid w:val="00290478"/>
    <w:pPr>
      <w:tabs>
        <w:tab w:pos="4153" w:val="center"/>
        <w:tab w:pos="8306" w:val="right"/>
      </w:tabs>
    </w:pPr>
  </w:style>
  <w:style w:customStyle="1" w:styleId="Header1" w:type="paragraph">
    <w:name w:val="Header1"/>
    <w:aliases w:val="RH"/>
    <w:basedOn w:val="MainText"/>
    <w:rsid w:val="00290478"/>
    <w:pPr>
      <w:tabs>
        <w:tab w:pos="720" w:val="left"/>
        <w:tab w:pos="7200" w:val="right"/>
      </w:tabs>
      <w:spacing w:line="240" w:lineRule="auto"/>
      <w:ind w:firstLine="0"/>
      <w:jc w:val="left"/>
    </w:pPr>
    <w:rPr>
      <w:i/>
    </w:rPr>
  </w:style>
  <w:style w:customStyle="1" w:styleId="2colH1" w:type="paragraph">
    <w:name w:val="2colH1"/>
    <w:aliases w:val="2H1"/>
    <w:basedOn w:val="FirstPara"/>
    <w:rsid w:val="00290478"/>
    <w:pPr>
      <w:tabs>
        <w:tab w:pos="360" w:val="left"/>
      </w:tabs>
      <w:spacing w:after="120" w:line="260" w:lineRule="atLeast"/>
      <w:jc w:val="left"/>
    </w:pPr>
    <w:rPr>
      <w:b/>
      <w:sz w:val="24"/>
    </w:rPr>
  </w:style>
  <w:style w:customStyle="1" w:styleId="2colAdd" w:type="paragraph">
    <w:name w:val="2colAdd"/>
    <w:aliases w:val="2A"/>
    <w:basedOn w:val="FirstPara"/>
    <w:rsid w:val="00290478"/>
    <w:pPr>
      <w:spacing w:line="220" w:lineRule="atLeast"/>
      <w:jc w:val="left"/>
    </w:pPr>
    <w:rPr>
      <w:i/>
    </w:rPr>
  </w:style>
  <w:style w:customStyle="1" w:styleId="2colMainText" w:type="paragraph">
    <w:name w:val="2colMainText"/>
    <w:aliases w:val="2MT"/>
    <w:basedOn w:val="FirstPara"/>
    <w:rsid w:val="00290478"/>
    <w:pPr>
      <w:spacing w:before="0" w:line="220" w:lineRule="atLeast"/>
      <w:ind w:firstLine="180"/>
      <w:jc w:val="left"/>
    </w:pPr>
    <w:rPr>
      <w:sz w:val="18"/>
    </w:rPr>
  </w:style>
  <w:style w:customStyle="1" w:styleId="2colFirstPara" w:type="paragraph">
    <w:name w:val="2colFirstPara"/>
    <w:aliases w:val="2FP"/>
    <w:basedOn w:val="2colMainText"/>
    <w:next w:val="2colMainText"/>
    <w:rsid w:val="00290478"/>
    <w:pPr>
      <w:ind w:firstLine="0"/>
    </w:pPr>
  </w:style>
  <w:style w:customStyle="1" w:styleId="2colBullet" w:type="paragraph">
    <w:name w:val="2colBullet"/>
    <w:aliases w:val="2B"/>
    <w:basedOn w:val="2colMainText"/>
    <w:rsid w:val="00290478"/>
    <w:pPr>
      <w:tabs>
        <w:tab w:pos="180" w:val="left"/>
      </w:tabs>
      <w:spacing w:after="60"/>
      <w:ind w:hanging="180" w:left="180"/>
    </w:pPr>
  </w:style>
  <w:style w:customStyle="1" w:styleId="2colH2" w:type="paragraph">
    <w:name w:val="2colH2"/>
    <w:aliases w:val="2H2"/>
    <w:basedOn w:val="2colFirstPara"/>
    <w:rsid w:val="00290478"/>
    <w:pPr>
      <w:tabs>
        <w:tab w:pos="360" w:val="left"/>
      </w:tabs>
      <w:spacing w:after="60" w:line="240" w:lineRule="atLeast"/>
    </w:pPr>
    <w:rPr>
      <w:i/>
      <w:sz w:val="20"/>
    </w:rPr>
  </w:style>
  <w:style w:customStyle="1" w:styleId="HeadL1" w:type="paragraph">
    <w:name w:val="HeadL1"/>
    <w:aliases w:val="H1"/>
    <w:basedOn w:val="FirstPara"/>
    <w:next w:val="FirstPara"/>
    <w:rsid w:val="00290478"/>
    <w:pPr>
      <w:keepNext/>
      <w:tabs>
        <w:tab w:pos="360" w:val="left"/>
      </w:tabs>
      <w:spacing w:after="120" w:before="480"/>
      <w:ind w:hanging="360" w:left="360"/>
      <w:jc w:val="left"/>
    </w:pPr>
    <w:rPr>
      <w:b/>
      <w:sz w:val="22"/>
    </w:rPr>
  </w:style>
  <w:style w:customStyle="1" w:styleId="HeadL2" w:type="paragraph">
    <w:name w:val="HeadL2"/>
    <w:aliases w:val="H2"/>
    <w:basedOn w:val="FirstPara"/>
    <w:next w:val="FirstPara"/>
    <w:rsid w:val="00290478"/>
    <w:pPr>
      <w:keepNext/>
      <w:tabs>
        <w:tab w:pos="480" w:val="left"/>
      </w:tabs>
      <w:spacing w:after="60" w:before="300"/>
      <w:ind w:hanging="480" w:left="480"/>
      <w:jc w:val="left"/>
    </w:pPr>
    <w:rPr>
      <w:i/>
      <w:sz w:val="22"/>
    </w:rPr>
  </w:style>
  <w:style w:customStyle="1" w:styleId="HeadL3" w:type="paragraph">
    <w:name w:val="HeadL3"/>
    <w:aliases w:val="H3"/>
    <w:basedOn w:val="HeadL2"/>
    <w:next w:val="FirstPara"/>
    <w:rsid w:val="00290478"/>
    <w:pPr>
      <w:tabs>
        <w:tab w:pos="480" w:val="clear"/>
        <w:tab w:pos="600" w:val="left"/>
      </w:tabs>
      <w:spacing w:after="0"/>
      <w:ind w:hanging="600" w:left="600"/>
    </w:pPr>
  </w:style>
  <w:style w:customStyle="1" w:styleId="ListedBullets" w:type="paragraph">
    <w:name w:val="ListedBullets"/>
    <w:aliases w:val="LB"/>
    <w:basedOn w:val="FirstPara"/>
    <w:rsid w:val="00290478"/>
    <w:pPr>
      <w:numPr>
        <w:numId w:val="10"/>
      </w:numPr>
      <w:jc w:val="left"/>
    </w:pPr>
  </w:style>
  <w:style w:customStyle="1" w:styleId="ListedNos" w:type="paragraph">
    <w:name w:val="ListedNos"/>
    <w:aliases w:val="LN"/>
    <w:basedOn w:val="ListedBullets"/>
    <w:rsid w:val="00290478"/>
  </w:style>
  <w:style w:customStyle="1" w:styleId="ListUnNod" w:type="paragraph">
    <w:name w:val="ListUnNod"/>
    <w:aliases w:val="LU"/>
    <w:basedOn w:val="ListedBullets"/>
    <w:rsid w:val="00290478"/>
    <w:pPr>
      <w:ind w:firstLine="0" w:left="0"/>
    </w:pPr>
  </w:style>
  <w:style w:customStyle="1" w:styleId="Table" w:type="paragraph">
    <w:name w:val="Table"/>
    <w:aliases w:val="TA"/>
    <w:basedOn w:val="FirstPara"/>
    <w:rsid w:val="00290478"/>
    <w:pPr>
      <w:spacing w:after="40" w:before="40" w:line="200" w:lineRule="atLeast"/>
      <w:jc w:val="left"/>
    </w:pPr>
    <w:rPr>
      <w:sz w:val="18"/>
    </w:rPr>
  </w:style>
  <w:style w:customStyle="1" w:styleId="RefNotes" w:type="paragraph">
    <w:name w:val="RefNotes"/>
    <w:aliases w:val="REF"/>
    <w:basedOn w:val="FirstPara"/>
    <w:rsid w:val="00290478"/>
    <w:pPr>
      <w:tabs>
        <w:tab w:pos="360" w:val="left"/>
        <w:tab w:pos="600" w:val="left"/>
      </w:tabs>
      <w:spacing w:after="60" w:before="0" w:line="200" w:lineRule="atLeast"/>
      <w:ind w:hanging="360" w:left="360"/>
    </w:pPr>
    <w:rPr>
      <w:sz w:val="18"/>
    </w:rPr>
  </w:style>
  <w:style w:customStyle="1" w:styleId="Source" w:type="paragraph">
    <w:name w:val="Source"/>
    <w:aliases w:val="SO"/>
    <w:basedOn w:val="FirstPara"/>
    <w:next w:val="FirstPara"/>
    <w:rsid w:val="00290478"/>
    <w:pPr>
      <w:spacing w:before="60" w:line="200" w:lineRule="atLeast"/>
      <w:ind w:left="720" w:right="720"/>
      <w:jc w:val="left"/>
    </w:pPr>
    <w:rPr>
      <w:sz w:val="18"/>
    </w:rPr>
  </w:style>
  <w:style w:customStyle="1" w:styleId="QuotationDisp" w:type="paragraph">
    <w:name w:val="QuotationDisp"/>
    <w:aliases w:val="QU"/>
    <w:basedOn w:val="FirstPara"/>
    <w:rsid w:val="00290478"/>
    <w:pPr>
      <w:spacing w:line="200" w:lineRule="atLeast"/>
      <w:ind w:left="720" w:right="720"/>
    </w:pPr>
    <w:rPr>
      <w:sz w:val="18"/>
    </w:rPr>
  </w:style>
  <w:style w:customStyle="1" w:styleId="FigureCaption" w:type="paragraph">
    <w:name w:val="FigureCaption"/>
    <w:aliases w:val="FC"/>
    <w:basedOn w:val="FirstPara"/>
    <w:rsid w:val="00290478"/>
    <w:pPr>
      <w:tabs>
        <w:tab w:pos="840" w:val="left"/>
        <w:tab w:pos="1680" w:val="left"/>
      </w:tabs>
      <w:spacing w:after="120" w:before="240" w:line="200" w:lineRule="atLeast"/>
      <w:ind w:hanging="835" w:left="835"/>
      <w:jc w:val="left"/>
    </w:pPr>
    <w:rPr>
      <w:sz w:val="18"/>
    </w:rPr>
  </w:style>
  <w:style w:customStyle="1" w:styleId="EquationDisp" w:type="paragraph">
    <w:name w:val="EquationDisp"/>
    <w:aliases w:val="EQN"/>
    <w:basedOn w:val="FirstPara"/>
    <w:rsid w:val="00290478"/>
    <w:pPr>
      <w:tabs>
        <w:tab w:pos="7200" w:val="right"/>
      </w:tabs>
      <w:ind w:left="480"/>
      <w:jc w:val="left"/>
    </w:pPr>
  </w:style>
  <w:style w:customStyle="1" w:styleId="Bibliography1" w:type="paragraph">
    <w:name w:val="Bibliography1"/>
    <w:aliases w:val="BIB"/>
    <w:basedOn w:val="FirstPara"/>
    <w:rsid w:val="00290478"/>
    <w:pPr>
      <w:spacing w:after="60" w:before="0" w:line="200" w:lineRule="atLeast"/>
      <w:ind w:hanging="480" w:left="480"/>
    </w:pPr>
    <w:rPr>
      <w:sz w:val="18"/>
    </w:rPr>
  </w:style>
  <w:style w:customStyle="1" w:styleId="AbsKeyBibli" w:type="paragraph">
    <w:name w:val="AbsKeyBibli"/>
    <w:aliases w:val="ABS"/>
    <w:basedOn w:val="FirstPara"/>
    <w:rsid w:val="00290478"/>
    <w:pPr>
      <w:widowControl w:val="0"/>
      <w:tabs>
        <w:tab w:pos="960" w:val="left"/>
      </w:tabs>
      <w:spacing w:after="200" w:before="0" w:line="200" w:lineRule="atLeast"/>
      <w:ind w:left="720" w:right="720"/>
    </w:pPr>
    <w:rPr>
      <w:sz w:val="18"/>
    </w:rPr>
  </w:style>
  <w:style w:customStyle="1" w:styleId="AuthAdds" w:type="paragraph">
    <w:name w:val="AuthAdds"/>
    <w:aliases w:val="ADR"/>
    <w:basedOn w:val="FirstPara"/>
    <w:next w:val="AbsKeyBibli"/>
    <w:rsid w:val="00290478"/>
    <w:pPr>
      <w:widowControl w:val="0"/>
      <w:spacing w:after="200" w:before="0"/>
      <w:ind w:left="720" w:right="720"/>
      <w:jc w:val="left"/>
    </w:pPr>
  </w:style>
  <w:style w:customStyle="1" w:styleId="PaperTitle" w:type="paragraph">
    <w:name w:val="PaperTitle"/>
    <w:aliases w:val="PT"/>
    <w:basedOn w:val="FirstPara"/>
    <w:next w:val="AuthNames"/>
    <w:rsid w:val="00290478"/>
    <w:pPr>
      <w:pBdr>
        <w:top w:color="auto" w:space="4" w:sz="12" w:val="single"/>
        <w:bottom w:color="auto" w:space="4" w:sz="12" w:val="single"/>
      </w:pBdr>
      <w:spacing w:after="240" w:before="0" w:line="320" w:lineRule="atLeast"/>
      <w:jc w:val="left"/>
    </w:pPr>
    <w:rPr>
      <w:rFonts w:ascii="Arial" w:hAnsi="Arial"/>
      <w:b/>
      <w:sz w:val="28"/>
    </w:rPr>
  </w:style>
  <w:style w:customStyle="1" w:styleId="AuthNames" w:type="paragraph">
    <w:name w:val="AuthNames"/>
    <w:aliases w:val="AU"/>
    <w:basedOn w:val="FirstPara"/>
    <w:next w:val="AuthAdds"/>
    <w:rsid w:val="00290478"/>
    <w:pPr>
      <w:spacing w:after="120" w:line="320" w:lineRule="atLeast"/>
      <w:ind w:left="720" w:right="720"/>
      <w:jc w:val="left"/>
    </w:pPr>
    <w:rPr>
      <w:rFonts w:ascii="Arial" w:hAnsi="Arial"/>
      <w:sz w:val="28"/>
    </w:rPr>
  </w:style>
  <w:style w:customStyle="1" w:styleId="TH" w:type="paragraph">
    <w:name w:val="TH"/>
    <w:basedOn w:val="FirstPara"/>
    <w:next w:val="MainText"/>
    <w:rsid w:val="00290478"/>
    <w:pPr>
      <w:tabs>
        <w:tab w:pos="960" w:val="left"/>
        <w:tab w:pos="1920" w:val="left"/>
      </w:tabs>
      <w:spacing w:after="120" w:before="240" w:line="200" w:lineRule="atLeast"/>
      <w:ind w:hanging="965" w:left="965"/>
      <w:jc w:val="left"/>
    </w:pPr>
    <w:rPr>
      <w:sz w:val="18"/>
    </w:rPr>
  </w:style>
  <w:style w:customStyle="1" w:styleId="ListSubsid" w:type="paragraph">
    <w:name w:val="ListSubsid"/>
    <w:aliases w:val="LS"/>
    <w:basedOn w:val="ListUnNod"/>
    <w:rsid w:val="00290478"/>
    <w:pPr>
      <w:keepLines/>
      <w:tabs>
        <w:tab w:pos="960" w:val="left"/>
      </w:tabs>
      <w:spacing w:before="60"/>
      <w:ind w:hanging="480" w:left="960"/>
    </w:pPr>
  </w:style>
  <w:style w:customStyle="1" w:styleId="Rule" w:type="paragraph">
    <w:name w:val="Rule"/>
    <w:aliases w:val="RU"/>
    <w:basedOn w:val="AbsKeyBibli"/>
    <w:next w:val="HeadL1"/>
    <w:rsid w:val="00290478"/>
    <w:pPr>
      <w:pBdr>
        <w:bottom w:color="auto" w:space="0" w:sz="12" w:val="single"/>
      </w:pBdr>
      <w:spacing w:after="0" w:line="240" w:lineRule="auto"/>
      <w:ind w:left="0" w:right="0"/>
    </w:pPr>
    <w:rPr>
      <w:sz w:val="12"/>
    </w:rPr>
  </w:style>
  <w:style w:customStyle="1" w:styleId="TN" w:type="paragraph">
    <w:name w:val="TN"/>
    <w:basedOn w:val="Source"/>
    <w:rsid w:val="00290478"/>
    <w:pPr>
      <w:keepLines/>
      <w:tabs>
        <w:tab w:pos="240" w:val="left"/>
      </w:tabs>
      <w:ind w:hanging="240" w:left="240"/>
    </w:pPr>
  </w:style>
  <w:style w:customStyle="1" w:styleId="TL" w:type="paragraph">
    <w:name w:val="TL"/>
    <w:basedOn w:val="Table"/>
    <w:rsid w:val="00290478"/>
    <w:pPr>
      <w:tabs>
        <w:tab w:pos="360" w:val="left"/>
      </w:tabs>
    </w:pPr>
  </w:style>
  <w:style w:customStyle="1" w:styleId="TC" w:type="paragraph">
    <w:name w:val="TC"/>
    <w:basedOn w:val="Table"/>
    <w:rsid w:val="00290478"/>
    <w:pPr>
      <w:jc w:val="center"/>
    </w:pPr>
  </w:style>
  <w:style w:customStyle="1" w:styleId="TR" w:type="paragraph">
    <w:name w:val="TR"/>
    <w:basedOn w:val="Table"/>
    <w:rsid w:val="00290478"/>
    <w:pPr>
      <w:ind w:right="120"/>
      <w:jc w:val="right"/>
    </w:pPr>
  </w:style>
  <w:style w:customStyle="1" w:styleId="ColHead" w:type="paragraph">
    <w:name w:val="ColHead"/>
    <w:aliases w:val="CH"/>
    <w:basedOn w:val="TL"/>
    <w:rsid w:val="00290478"/>
    <w:pPr>
      <w:jc w:val="center"/>
    </w:pPr>
    <w:rPr>
      <w:i/>
    </w:rPr>
  </w:style>
  <w:style w:customStyle="1" w:styleId="TD" w:type="paragraph">
    <w:name w:val="TD"/>
    <w:basedOn w:val="TL"/>
    <w:rsid w:val="00290478"/>
    <w:pPr>
      <w:tabs>
        <w:tab w:pos="460" w:val="decimal"/>
      </w:tabs>
    </w:pPr>
  </w:style>
  <w:style w:customStyle="1" w:styleId="Graphic" w:type="paragraph">
    <w:name w:val="Graphic"/>
    <w:aliases w:val="GR"/>
    <w:basedOn w:val="MainText"/>
    <w:rsid w:val="00290478"/>
    <w:pPr>
      <w:spacing w:after="240" w:line="240" w:lineRule="auto"/>
      <w:ind w:firstLine="0"/>
    </w:pPr>
  </w:style>
  <w:style w:customStyle="1" w:styleId="-H2" w:type="paragraph">
    <w:name w:val="-H2"/>
    <w:basedOn w:val="HeadL2"/>
    <w:rsid w:val="00290478"/>
    <w:pPr>
      <w:spacing w:before="120"/>
    </w:pPr>
  </w:style>
  <w:style w:customStyle="1" w:styleId="-FP" w:type="paragraph">
    <w:name w:val="-FP"/>
    <w:basedOn w:val="FirstPara"/>
    <w:rsid w:val="00290478"/>
    <w:pPr>
      <w:spacing w:before="0"/>
    </w:pPr>
  </w:style>
  <w:style w:customStyle="1" w:styleId="-FC" w:type="paragraph">
    <w:name w:val="-FC"/>
    <w:basedOn w:val="FirstPara"/>
    <w:rsid w:val="00290478"/>
    <w:pPr>
      <w:tabs>
        <w:tab w:pos="840" w:val="left"/>
        <w:tab w:pos="1680" w:val="left"/>
      </w:tabs>
      <w:spacing w:after="120" w:before="0" w:line="200" w:lineRule="atLeast"/>
      <w:jc w:val="left"/>
    </w:pPr>
    <w:rPr>
      <w:sz w:val="18"/>
    </w:rPr>
  </w:style>
  <w:style w:customStyle="1" w:styleId="-H1" w:type="paragraph">
    <w:name w:val="-H1"/>
    <w:basedOn w:val="HeadL1"/>
    <w:rsid w:val="00290478"/>
    <w:pPr>
      <w:spacing w:before="0"/>
    </w:pPr>
  </w:style>
  <w:style w:customStyle="1" w:styleId="fh" w:type="paragraph">
    <w:name w:val="fh"/>
    <w:basedOn w:val="FigureCaption"/>
    <w:rsid w:val="00290478"/>
    <w:rPr>
      <w:sz w:val="28"/>
    </w:rPr>
  </w:style>
  <w:style w:customStyle="1" w:styleId="ExampleDefinition" w:type="paragraph">
    <w:name w:val="ExampleDefinition"/>
    <w:basedOn w:val="FirstPara"/>
    <w:rsid w:val="00290478"/>
    <w:pPr>
      <w:keepNext/>
      <w:tabs>
        <w:tab w:pos="1161" w:val="left"/>
      </w:tabs>
      <w:spacing w:before="240"/>
    </w:pPr>
  </w:style>
  <w:style w:customStyle="1" w:styleId="hypothesis" w:type="paragraph">
    <w:name w:val="hypothesis"/>
    <w:basedOn w:val="MainText"/>
    <w:next w:val="FirstPara"/>
    <w:rsid w:val="00290478"/>
    <w:pPr>
      <w:spacing w:before="120"/>
      <w:ind w:firstLine="0" w:left="302"/>
    </w:pPr>
    <w:rPr>
      <w:i/>
    </w:rPr>
  </w:style>
  <w:style w:customStyle="1" w:styleId="Theorempreposition" w:type="paragraph">
    <w:name w:val="Theorempreposition"/>
    <w:basedOn w:val="Normal"/>
    <w:rsid w:val="00290478"/>
    <w:pPr>
      <w:keepNext/>
      <w:tabs>
        <w:tab w:pos="1161" w:val="left"/>
      </w:tabs>
      <w:spacing w:before="240" w:line="240" w:lineRule="atLeast"/>
      <w:jc w:val="both"/>
    </w:pPr>
    <w:rPr>
      <w:i/>
      <w:sz w:val="20"/>
    </w:rPr>
  </w:style>
  <w:style w:styleId="Hyperlink" w:type="character">
    <w:name w:val="Hyperlink"/>
    <w:basedOn w:val="DefaultParagraphFont"/>
    <w:rsid w:val="00290478"/>
    <w:rPr>
      <w:color w:val="0000FF"/>
      <w:u w:val="single"/>
    </w:rPr>
  </w:style>
  <w:style w:styleId="Title" w:type="paragraph">
    <w:name w:val="Title"/>
    <w:basedOn w:val="Normal"/>
    <w:rsid w:val="00290478"/>
    <w:pPr>
      <w:spacing w:after="60" w:before="240"/>
      <w:jc w:val="center"/>
      <w:outlineLvl w:val="0"/>
    </w:pPr>
    <w:rPr>
      <w:rFonts w:ascii="Arial" w:cs="Arial" w:hAnsi="Arial"/>
      <w:b/>
      <w:bCs/>
      <w:kern w:val="28"/>
      <w:sz w:val="32"/>
      <w:szCs w:val="32"/>
    </w:rPr>
  </w:style>
  <w:style w:styleId="FootnoteText" w:type="paragraph">
    <w:name w:val="footnote text"/>
    <w:basedOn w:val="Normal"/>
    <w:semiHidden/>
    <w:rsid w:val="00290478"/>
    <w:rPr>
      <w:sz w:val="20"/>
      <w:szCs w:val="20"/>
      <w:lang w:eastAsia="it-IT"/>
    </w:rPr>
  </w:style>
  <w:style w:styleId="FootnoteReference" w:type="character">
    <w:name w:val="footnote reference"/>
    <w:basedOn w:val="DefaultParagraphFont"/>
    <w:semiHidden/>
    <w:rsid w:val="00290478"/>
    <w:rPr>
      <w:vertAlign w:val="superscript"/>
    </w:rPr>
  </w:style>
  <w:style w:styleId="PageNumber" w:type="character">
    <w:name w:val="page number"/>
    <w:basedOn w:val="DefaultParagraphFont"/>
    <w:rsid w:val="00290478"/>
  </w:style>
  <w:style w:styleId="UnresolvedMention" w:type="character">
    <w:name w:val="Unresolved Mention"/>
    <w:basedOn w:val="DefaultParagraphFont"/>
    <w:uiPriority w:val="99"/>
    <w:semiHidden/>
    <w:unhideWhenUsed/>
    <w:rsid w:val="00FA716E"/>
    <w:rPr>
      <w:color w:val="605E5C"/>
      <w:shd w:color="auto" w:fill="E1DFDD" w:val="clear"/>
    </w:rPr>
  </w:style>
  <w:style w:customStyle="1" w:styleId="Default" w:type="paragraph">
    <w:name w:val="Default"/>
    <w:rsid w:val="00F070BE"/>
    <w:pPr>
      <w:autoSpaceDE w:val="0"/>
      <w:autoSpaceDN w:val="0"/>
      <w:adjustRightInd w:val="0"/>
    </w:pPr>
    <w:rPr>
      <w:rFonts w:ascii="Calibri" w:cs="Calibri" w:hAnsi="Calibri"/>
      <w:color w:val="000000"/>
      <w:sz w:val="24"/>
      <w:szCs w:val="24"/>
      <w:lang w:val="en-US"/>
    </w:rPr>
  </w:style>
  <w:style w:styleId="TableGrid" w:type="table">
    <w:name w:val="Table Grid"/>
    <w:basedOn w:val="TableNormal"/>
    <w:rsid w:val="00F070B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perTitle0" w:type="paragraph">
    <w:name w:val="Paper Title"/>
    <w:qFormat/>
    <w:rsid w:val="00654E91"/>
    <w:rPr>
      <w:rFonts w:ascii="Calibri" w:cs="Calibri" w:hAnsi="Calibri"/>
      <w:b/>
      <w:bCs/>
      <w:sz w:val="32"/>
      <w:szCs w:val="32"/>
      <w:lang w:eastAsia="en-US" w:val="en-GB"/>
    </w:rPr>
  </w:style>
  <w:style w:customStyle="1" w:styleId="Authorsnames" w:type="paragraph">
    <w:name w:val="Authors names"/>
    <w:qFormat/>
    <w:rsid w:val="00654E91"/>
    <w:rPr>
      <w:rFonts w:asciiTheme="minorHAnsi" w:cstheme="minorHAnsi" w:hAnsiTheme="minorHAnsi"/>
      <w:sz w:val="24"/>
      <w:szCs w:val="24"/>
      <w:lang w:eastAsia="en-US" w:val="en-GB"/>
    </w:rPr>
  </w:style>
  <w:style w:customStyle="1" w:styleId="Headingparagraph" w:type="paragraph">
    <w:name w:val="Heading paragraph"/>
    <w:basedOn w:val="Heading2"/>
    <w:qFormat/>
    <w:rsid w:val="00654E91"/>
    <w:pPr>
      <w:spacing w:line="240" w:lineRule="auto"/>
      <w:jc w:val="both"/>
    </w:pPr>
    <w:rPr>
      <w:rFonts w:asciiTheme="minorHAnsi" w:cstheme="minorHAnsi" w:hAnsiTheme="minorHAnsi"/>
      <w:b/>
      <w:i w:val="0"/>
    </w:rPr>
  </w:style>
  <w:style w:customStyle="1" w:styleId="Abstracttext" w:type="paragraph">
    <w:name w:val="Abstract text"/>
    <w:qFormat/>
    <w:rsid w:val="00C60E72"/>
    <w:pPr>
      <w:jc w:val="both"/>
    </w:pPr>
    <w:rPr>
      <w:rFonts w:asciiTheme="minorHAnsi" w:cstheme="minorHAnsi" w:hAnsiTheme="minorHAnsi"/>
      <w:iCs/>
      <w:szCs w:val="24"/>
      <w:lang w:eastAsia="en-US" w:val="en-GB"/>
    </w:rPr>
  </w:style>
  <w:style w:customStyle="1" w:styleId="Maintext0" w:type="paragraph">
    <w:name w:val="Main text"/>
    <w:basedOn w:val="MainText"/>
    <w:qFormat/>
    <w:rsid w:val="00654E91"/>
    <w:pPr>
      <w:spacing w:line="240" w:lineRule="auto"/>
      <w:ind w:firstLine="288"/>
    </w:pPr>
    <w:rPr>
      <w:rFonts w:asciiTheme="minorHAnsi" w:cstheme="minorHAnsi" w:hAnsiTheme="minorHAnsi"/>
      <w:bCs/>
    </w:rPr>
  </w:style>
  <w:style w:customStyle="1" w:styleId="Sub1Title" w:type="paragraph">
    <w:name w:val="Sub1 Title"/>
    <w:qFormat/>
    <w:rsid w:val="00654E91"/>
    <w:rPr>
      <w:rFonts w:asciiTheme="minorHAnsi" w:cstheme="minorHAnsi" w:hAnsiTheme="minorHAnsi"/>
      <w:b/>
      <w:bCs/>
      <w:i/>
      <w:iCs/>
      <w:lang w:eastAsia="en-US" w:val="en-GB"/>
    </w:rPr>
  </w:style>
  <w:style w:customStyle="1" w:styleId="Sub2title" w:type="paragraph">
    <w:name w:val="Sub2 title"/>
    <w:basedOn w:val="Heading2"/>
    <w:qFormat/>
    <w:rsid w:val="00654E91"/>
    <w:pPr>
      <w:spacing w:line="240" w:lineRule="auto"/>
    </w:pPr>
    <w:rPr>
      <w:rFonts w:asciiTheme="minorHAnsi" w:cstheme="minorHAnsi" w:hAnsiTheme="minorHAnsi"/>
      <w:sz w:val="20"/>
      <w:szCs w:val="20"/>
    </w:rPr>
  </w:style>
  <w:style w:customStyle="1" w:styleId="Bullets" w:type="paragraph">
    <w:name w:val="Bullets"/>
    <w:basedOn w:val="MainText"/>
    <w:qFormat/>
    <w:rsid w:val="00654E91"/>
    <w:pPr>
      <w:numPr>
        <w:numId w:val="17"/>
      </w:numPr>
    </w:pPr>
    <w:rPr>
      <w:rFonts w:asciiTheme="minorHAnsi" w:cstheme="minorHAnsi" w:hAnsiTheme="minorHAnsi"/>
      <w:bCs/>
      <w:lang w:val="en-US"/>
    </w:rPr>
  </w:style>
  <w:style w:customStyle="1" w:styleId="References" w:type="paragraph">
    <w:name w:val="References"/>
    <w:basedOn w:val="RefNotes"/>
    <w:qFormat/>
    <w:rsid w:val="00654E91"/>
    <w:pPr>
      <w:spacing w:after="0"/>
    </w:pPr>
    <w:rPr>
      <w:rFonts w:asciiTheme="minorHAnsi" w:cstheme="minorHAnsi" w:hAnsiTheme="minorHAnsi"/>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1.xml"/><Relationship Id="rId15" Type="http://schemas.openxmlformats.org/officeDocument/2006/relationships/footer" Target="footer3.xml"/><Relationship Id="rId10" Type="http://schemas.openxmlformats.org/officeDocument/2006/relationships/image" Target="media/image1.png"/><Relationship Id="rId14" Type="http://schemas.openxmlformats.org/officeDocument/2006/relationships/header" Target="header2.xml"/><Relationship Id="rId29" Type="http://schemas.openxmlformats.org/officeDocument/2006/relationships/image" Target="media/rId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PaperIFKAD2007\Template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Template_Submission</Template>
  <TotalTime>0</TotalTime>
  <Pages>3</Pages>
  <Words>1250</Words>
  <Characters>7129</Characters>
  <Application>Microsoft Office Word</Application>
  <DocSecurity>0</DocSecurity>
  <Lines>59</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IFKAD FP TEMPLATE</vt:lpstr>
      <vt:lpstr>IJTM/IJCEE PAGE TEMPLATEv2</vt:lpstr>
    </vt:vector>
  </TitlesOfParts>
  <Company>inderscience</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2026-04-23T13:33:43Z</dcterms:created>
  <dcterms:modified xsi:type="dcterms:W3CDTF">2026-04-23T13:33:43Z</dcterms:modified>
</cp:coreProperties>
</file>

<file path=docProps/custom.xml><?xml version="1.0" encoding="utf-8"?>
<Properties xmlns="http://schemas.openxmlformats.org/officeDocument/2006/custom-properties" xmlns:vt="http://schemas.openxmlformats.org/officeDocument/2006/docPropsVTypes"/>
</file>