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190500</wp:posOffset>
                      </wp:positionV>
                      <wp:extent cx="0" cy="12700"/>
                      <wp:effectExtent b="0" l="0" r="0" t="0"/>
                      <wp:wrapNone/>
                      <wp:docPr id="8"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190500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0" cy="12700"/>
                      <wp:effectExtent b="0" l="0" r="0" t="0"/>
                      <wp:wrapNone/>
                      <wp:docPr id="7"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1"/>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3"/>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10/10/2022, 18h05 → 19h30</w:t>
          </w:r>
        </w:sdtContent>
      </w:sdt>
      <w:r w:rsidDel="00000000" w:rsidR="00000000" w:rsidRPr="00000000">
        <w:rPr>
          <w:rtl w:val="0"/>
        </w:rPr>
      </w:r>
    </w:p>
    <w:p w:rsidR="00000000" w:rsidDel="00000000" w:rsidP="00000000" w:rsidRDefault="00000000" w:rsidRPr="00000000" w14:paraId="0000000A">
      <w:pPr>
        <w:numPr>
          <w:ilvl w:val="0"/>
          <w:numId w:val="3"/>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r w:rsidDel="00000000" w:rsidR="00000000" w:rsidRPr="00000000">
        <w:rPr>
          <w:rtl w:val="0"/>
        </w:rPr>
      </w:r>
    </w:p>
    <w:p w:rsidR="00000000" w:rsidDel="00000000" w:rsidP="00000000" w:rsidRDefault="00000000" w:rsidRPr="00000000" w14:paraId="0000000B">
      <w:pPr>
        <w:numPr>
          <w:ilvl w:val="0"/>
          <w:numId w:val="3"/>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r w:rsidDel="00000000" w:rsidR="00000000" w:rsidRPr="00000000">
        <w:rPr>
          <w:rtl w:val="0"/>
        </w:rPr>
      </w:r>
    </w:p>
    <w:p w:rsidR="00000000" w:rsidDel="00000000" w:rsidP="00000000" w:rsidRDefault="00000000" w:rsidRPr="00000000" w14:paraId="0000000C">
      <w:pPr>
        <w:numPr>
          <w:ilvl w:val="0"/>
          <w:numId w:val="2"/>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2"/>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2"/>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r w:rsidDel="00000000" w:rsidR="00000000" w:rsidRPr="00000000">
        <w:rPr>
          <w:rtl w:val="0"/>
        </w:rPr>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Rút tiền” </w:t>
      </w:r>
      <w:r w:rsidDel="00000000" w:rsidR="00000000" w:rsidRPr="00000000">
        <w:rPr>
          <w:rFonts w:ascii="Times New Roman" w:cs="Times New Roman" w:eastAsia="Times New Roman" w:hAnsi="Times New Roman"/>
          <w:sz w:val="26"/>
          <w:szCs w:val="26"/>
          <w:rtl w:val="0"/>
        </w:rPr>
        <w:t xml:space="preserve">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4"/>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Rút tiền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college student</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withdraw my account’s credit</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pay other bill that require connection with the bank</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withdraw my account’s credit, so that I can can buy resources in cash</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rút tiền mặt từ tài khoản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withdraw my account’s credit, so that I can pay other bill that require connection with the bank</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withdraw my account’s credit, so that I can buy resources in cash</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rút tiền mặt từ tài khoản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withdraw my account’s credit, so that I can validate my income with the bank</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withdraw my account’s credit, so that I can use visa or mastercard to build my bank credit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withdraw my account’s credit, so that I can increase my cash in the bank via interest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parent, I want to withdraw my account’s credit, so that I can restrict the flow of money my children are spending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withdraw my account’s credit, so that I can spend money on stuff that require cash</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rút tiền mặt từ tài khoản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withdraw my account’s credit, so that I can increase my cash in the bank via interest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rút tiền vào tài khoản ngân hàng liên kết bằng cách nhấn vào biểu tượng rút tiền, chọn số tiền mình mong muốn nạp, chọn thể phương thức rút tiền, xác nhận ở màn hình xác nhận giao dịch và kiểm tra giao dịch thành công ở màn hình cuối cùng. Người dùng có thể xem lại số dư tài khoản trước và sau khi rút tiền.</w:t>
            </w:r>
          </w:p>
        </w:tc>
      </w:tr>
    </w:tbl>
    <w:p w:rsidR="00000000" w:rsidDel="00000000" w:rsidP="00000000" w:rsidRDefault="00000000" w:rsidRPr="00000000" w14:paraId="0000002C">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4"/>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2E">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“Rút tiền”</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2F">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thích sự tiện nghi của việc thanh toán bằng ví điện tử nên về việc rút tiền Lam không có sử dụng nhiều.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Lâm có sử dụng việc rút tiền vào tài khoản ngân hàng để thanh toán một vài hoá đơn pháp lý</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nếu lâm muốn rút tiền trực tiếp thì Lâm có thể rút trực tiếp từ thẻ ngân hàng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thường sử dụng ví điện tử để thanh toán các hóa đơn, phục vụ nhu cầu vui chơi nên Hoàng không thấy vấn đề rút tiền đang quan ngại trừ 1 vài trường hợp phải thanh toán hoá đơn pháp lý thì Hoàng phải rút tiền vào trong tài khoản ngân hàng của mình.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Hoàng là 1 người đi làm, Hoàng có rất nhiều tài khoản và đã có những thời gian một vài tài khoản của Hoàng không còn đủ tiền để rút nhưng tiền trong ví điện tủ thì lại nhiều nên Hoàng muốn được rút tiền mặt trực tiếp từ ví điện tủ.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4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4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thường xuyên sử dụng tiền mặt nên việc rút tiền của cô từ trong ví sẽ thực hiện thông qua việc rút tiền mặc.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muốn giao diện phải dễ nhìn, thể hiện rõ được nơi rút tiền mặt để cô có thể đến địa điểm đó và thực hiện giao dịch</w:t>
            </w:r>
          </w:p>
        </w:tc>
      </w:tr>
    </w:tbl>
    <w:p w:rsidR="00000000" w:rsidDel="00000000" w:rsidP="00000000" w:rsidRDefault="00000000" w:rsidRPr="00000000" w14:paraId="00000057">
      <w:pPr>
        <w:spacing w:after="0" w:line="276" w:lineRule="auto"/>
        <w:ind w:lef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“Rút tiền"</w:t>
      </w:r>
      <w:r w:rsidDel="00000000" w:rsidR="00000000" w:rsidRPr="00000000">
        <w:rPr>
          <w:rFonts w:ascii="Times New Roman" w:cs="Times New Roman" w:eastAsia="Times New Roman" w:hAnsi="Times New Roman"/>
          <w:sz w:val="26"/>
          <w:szCs w:val="26"/>
          <w:rtl w:val="0"/>
        </w:rPr>
        <w:t xml:space="preserve"> là cần thiết. Màn hình rút tiền sẽ là chứa ô để người dùng nhập số tiền muốn rút, ô sẽ to, rõ và nằm giữa hoặc gần phía trên màn hình. Bàn phím số sẽ là bàn phím được dùng để nhập số tiền, trên bàn phím sẽ là những gợi ý khoảng tiền người dùng có thể nhập. Khi nhập xong thì phía dưới màn hình sẽ hiển thị ô với dùng chữ nạp tiền. Khi đó sẽ chuyển qua các màn hình xác nhận và giao dịch thành công. Những màn hình này sẽ hiển thị đầy đủ các thông tin giao dịch. Mặc định sẽ là rút tiền qua tài khoản ngân hàng liên kết với tài khoản nhưng sẽ có lựa chọn để rút tiền mặt trực tiếp thông qua những địa điểm được tin cậy.</w:t>
      </w:r>
      <w:r w:rsidDel="00000000" w:rsidR="00000000" w:rsidRPr="00000000">
        <w:rPr>
          <w:rtl w:val="0"/>
        </w:rPr>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93"/>
        <w:tblGridChange w:id="0">
          <w:tblGrid>
            <w:gridCol w:w="4667"/>
            <w:gridCol w:w="4693"/>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A">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D">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5E">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viZzPUCmhkveD0+8+T3KMqSXw==">AMUW2mVrCO2lfqkWqpYGhCixfaDBOVHzF8i2b2wExHq0CRted/pWFJL8yTg+ZzHoqFbOOP2Jj3WEgWpC3hpiCv4/07IaYFHjfhDMEV6j7JqZeBo6AydXHYra6iRB97dW9xeYpyMJvF3kMCeMnPtpx+jcZaUhFSSRdw==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