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PROYECTO ELECTRÓNICA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Juan Naranjo, Nicolas Noriega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t xml:space="preserve">SEGUNDA ETAPA: DEFINIR/EMPATIZAR</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highlight w:val="white"/>
        </w:rPr>
      </w:pPr>
      <w:r w:rsidDel="00000000" w:rsidR="00000000" w:rsidRPr="00000000">
        <w:rPr>
          <w:rtl w:val="0"/>
        </w:rPr>
        <w:t xml:space="preserve">Debido a que se colaborará con Ricardo en el montaje del “Sistema angular para excitación de plasmones”, fue necesario entablar un diálogo directo para establecer los </w:t>
      </w:r>
      <w:r w:rsidDel="00000000" w:rsidR="00000000" w:rsidRPr="00000000">
        <w:rPr>
          <w:color w:val="333333"/>
          <w:highlight w:val="white"/>
          <w:rtl w:val="0"/>
        </w:rPr>
        <w:t xml:space="preserve">focos de acción, ya que solo de ese modo se tendrá en claro las necesidades a cubrir con el desarrollo del proyecto: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333333"/>
          <w:highlight w:val="white"/>
        </w:rPr>
      </w:pPr>
      <w:r w:rsidDel="00000000" w:rsidR="00000000" w:rsidRPr="00000000">
        <w:rPr>
          <w:color w:val="333333"/>
          <w:highlight w:val="white"/>
          <w:rtl w:val="0"/>
        </w:rPr>
        <w:t xml:space="preserve">Se necesita traducir los datos de la comunicación serial debido a que el análisis de datos se realiza con las posiciones angulares y no con los seriales.</w:t>
      </w:r>
    </w:p>
    <w:p w:rsidR="00000000" w:rsidDel="00000000" w:rsidP="00000000" w:rsidRDefault="00000000" w:rsidRPr="00000000" w14:paraId="00000008">
      <w:pPr>
        <w:numPr>
          <w:ilvl w:val="0"/>
          <w:numId w:val="1"/>
        </w:numPr>
        <w:ind w:left="720" w:hanging="360"/>
        <w:rPr>
          <w:color w:val="333333"/>
          <w:highlight w:val="white"/>
        </w:rPr>
      </w:pPr>
      <w:r w:rsidDel="00000000" w:rsidR="00000000" w:rsidRPr="00000000">
        <w:rPr>
          <w:color w:val="333333"/>
          <w:highlight w:val="white"/>
          <w:rtl w:val="0"/>
        </w:rPr>
        <w:t xml:space="preserve">Se requiere que el motor desplace tanto el prisma como el led, el prisma con un desplazamiento angular dos veces mayor al del led, con el fin de mantener la reflexión total interna dentro del prisma.</w:t>
      </w:r>
    </w:p>
    <w:p w:rsidR="00000000" w:rsidDel="00000000" w:rsidP="00000000" w:rsidRDefault="00000000" w:rsidRPr="00000000" w14:paraId="00000009">
      <w:pPr>
        <w:numPr>
          <w:ilvl w:val="0"/>
          <w:numId w:val="1"/>
        </w:numPr>
        <w:ind w:left="720" w:hanging="360"/>
        <w:rPr>
          <w:color w:val="333333"/>
          <w:highlight w:val="white"/>
        </w:rPr>
      </w:pPr>
      <w:r w:rsidDel="00000000" w:rsidR="00000000" w:rsidRPr="00000000">
        <w:rPr>
          <w:color w:val="333333"/>
          <w:highlight w:val="white"/>
          <w:rtl w:val="0"/>
        </w:rPr>
        <w:t xml:space="preserve">Se precisa un circuito de acondicionamiento mediante amplificadores de transimpedancia para posteriormente conectar un arduino y obtener los datos de Intensidad que detecta el “fotodiodo”.</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