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BookNest Test Document</w:t>
      </w:r>
    </w:p>
    <w:p>
      <w:pPr>
        <w:pStyle w:val="Heading1"/>
      </w:pPr>
      <w:r>
        <w:t>Chapter One</w:t>
      </w:r>
    </w:p>
    <w:p>
      <w:r>
        <w:t xml:space="preserve">Plain start, </w:t>
      </w:r>
      <w:r>
        <w:rPr>
          <w:b/>
        </w:rPr>
        <w:t>bold words</w:t>
      </w:r>
      <w:r>
        <w:t xml:space="preserve"> and </w:t>
      </w:r>
      <w:r>
        <w:rPr>
          <w:i/>
        </w:rPr>
        <w:t>italic words</w:t>
      </w:r>
      <w:r>
        <w:t>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Pages</w:t>
            </w:r>
          </w:p>
        </w:tc>
      </w:tr>
      <w:tr>
        <w:tc>
          <w:tcPr>
            <w:tcW w:type="dxa" w:w="4320"/>
          </w:tcPr>
          <w:p>
            <w:r>
              <w:t>Dune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table — naïve café “quotes” &amp; &lt;tags&gt;.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