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jpg" ContentType="image/jpeg"/>
  <Override PartName="/word/media/rId25.png" ContentType="image/png"/>
  <Override PartName="/word/media/rId47.png" ContentType="image/png"/>
  <Override PartName="/word/media/rId48.png" ContentType="image/png"/>
  <Override PartName="/word/media/rId36.png" ContentType="image/png"/>
  <Override PartName="/word/media/rId29.png" ContentType="image/png"/>
  <Override PartName="/word/media/rId31.png" ContentType="image/png"/>
  <Override PartName="/word/media/rId50.png" ContentType="image/png"/>
  <Override PartName="/word/media/rId51.png" ContentType="image/png"/>
  <Override PartName="/word/media/rId52.png" ContentType="image/png"/>
  <Override PartName="/word/media/rId69.png" ContentType="image/png"/>
  <Override PartName="/word/media/rId56.png" ContentType="image/png"/>
  <Override PartName="/word/media/rId57.png" ContentType="image/png"/>
  <Override PartName="/word/media/rId55.png" ContentType="image/png"/>
  <Override PartName="/word/media/rId66.png" ContentType="image/png"/>
  <Override PartName="/word/media/rId28.png" ContentType="image/png"/>
  <Override PartName="/word/media/rId23.png" ContentType="image/png"/>
  <Override PartName="/word/media/rId64.png" ContentType="image/png"/>
  <Override PartName="/word/media/rId34.png" ContentType="image/png"/>
  <Override PartName="/word/media/rId71.png" ContentType="image/png"/>
  <Override PartName="/word/media/rId33.png" ContentType="image/png"/>
  <Override PartName="/word/media/rId43.png" ContentType="image/png"/>
  <Override PartName="/word/media/rId45.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and</w:t>
      </w:r>
      <w:r>
        <w:t xml:space="preserve"> </w:t>
      </w:r>
      <w:r>
        <w:t xml:space="preserve">LTL</w:t>
      </w:r>
      <w:r>
        <w:t xml:space="preserve"> </w:t>
      </w:r>
      <w:r>
        <w:t xml:space="preserve">Indicators</w:t>
      </w:r>
      <w:r>
        <w:t xml:space="preserve"> </w:t>
      </w:r>
      <w:r>
        <w:t xml:space="preserve">MAB</w:t>
      </w:r>
      <w:r>
        <w:t xml:space="preserve"> </w:t>
      </w:r>
      <w:r>
        <w:t xml:space="preserve">and</w:t>
      </w:r>
      <w:r>
        <w:t xml:space="preserve"> </w:t>
      </w:r>
      <w:r>
        <w:t xml:space="preserve">Shelf-wide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Trend lines are shown when slope is significantly different from 0 at the p &lt; 0.05 level. An orange line signifies an overall positive trend, and purple signifies a negative trend. Note that in the final report we will only test for trend when N &gt;= 30. However, I have relaxed that requirement for the purposes of this document so that trends are highlighted when N &gt;= 20.</w:t>
      </w:r>
      <w:r>
        <w:t xml:space="preserve"> </w:t>
      </w:r>
      <w:r>
        <w:rPr>
          <w:b/>
        </w:rPr>
        <w:t xml:space="preserve">This means that some trends shown here will not be present in the final document</w:t>
      </w:r>
      <w:r>
        <w:t xml:space="preserve">. Dashed lines represent mean values of time series unless the indicator is an anomaly, in which case the dashed line is equal to 0. Shaded regions indicate the past ten years. If there are no new data for 2018, the shaded region will still cover this time period.</w:t>
      </w:r>
    </w:p>
    <w:p>
      <w:pPr>
        <w:pStyle w:val="Heading2"/>
      </w:pPr>
      <w:bookmarkStart w:id="20" w:name="mid-atlantic-bight"/>
      <w:r>
        <w:t xml:space="preserve">Mid-Atlantic Bight</w:t>
      </w:r>
      <w:bookmarkEnd w:id="20"/>
    </w:p>
    <w:p>
      <w:pPr>
        <w:pStyle w:val="Heading3"/>
      </w:pPr>
      <w:bookmarkStart w:id="21" w:name="ocean-temperature"/>
      <w:r>
        <w:t xml:space="preserve">Ocean Temperature</w:t>
      </w:r>
      <w:bookmarkEnd w:id="21"/>
    </w:p>
    <w:p>
      <w:pPr>
        <w:pStyle w:val="Heading4"/>
      </w:pPr>
      <w:bookmarkStart w:id="22" w:name="sst"/>
      <w:r>
        <w:t xml:space="preserve">SST</w:t>
      </w:r>
      <w:bookmarkEnd w:id="22"/>
    </w:p>
    <w:p>
      <w:pPr>
        <w:pStyle w:val="CaptionedFigure"/>
      </w:pPr>
      <w:r>
        <w:drawing>
          <wp:inline>
            <wp:extent cx="5334000" cy="4267200"/>
            <wp:effectExtent b="0" l="0" r="0" t="0"/>
            <wp:docPr descr="MAB seasonal sea surface temperature time series overlaid onto 2020 seasonal spatial anomalies." title="" id="1" name="Picture"/>
            <a:graphic>
              <a:graphicData uri="http://schemas.openxmlformats.org/drawingml/2006/picture">
                <pic:pic>
                  <pic:nvPicPr>
                    <pic:cNvPr descr="LTL_MAB_files/figure-docx/seasonal-sst-anom-gridded-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MAB seasonal sea surface temperature time series overlaid onto 2020 seasonal spatial anomalies.</w:t>
      </w:r>
    </w:p>
    <w:p>
      <w:pPr>
        <w:pStyle w:val="Heading4"/>
      </w:pPr>
      <w:bookmarkStart w:id="24" w:name="bottom-temperature"/>
      <w:r>
        <w:t xml:space="preserve">Bottom temperature</w:t>
      </w:r>
      <w:bookmarkEnd w:id="24"/>
    </w:p>
    <w:p>
      <w:pPr>
        <w:pStyle w:val="CaptionedFigure"/>
      </w:pPr>
      <w:r>
        <w:drawing>
          <wp:inline>
            <wp:extent cx="5334000" cy="2926291"/>
            <wp:effectExtent b="0" l="0" r="0" t="0"/>
            <wp:docPr descr="Annual bottom temperature in the Mid-Atlantic Bight. (black = Paula’s, red = GLORYS)" title="" id="1" name="Picture"/>
            <a:graphic>
              <a:graphicData uri="http://schemas.openxmlformats.org/drawingml/2006/picture">
                <pic:pic>
                  <pic:nvPicPr>
                    <pic:cNvPr descr="LTL_MAB_files/figure-docx/bottom-temp-1.png" id="0" name="Picture"/>
                    <pic:cNvPicPr>
                      <a:picLocks noChangeArrowheads="1" noChangeAspect="1"/>
                    </pic:cNvPicPr>
                  </pic:nvPicPr>
                  <pic:blipFill>
                    <a:blip r:embed="rId25"/>
                    <a:stretch>
                      <a:fillRect/>
                    </a:stretch>
                  </pic:blipFill>
                  <pic:spPr bwMode="auto">
                    <a:xfrm>
                      <a:off x="0" y="0"/>
                      <a:ext cx="5334000" cy="2926291"/>
                    </a:xfrm>
                    <a:prstGeom prst="rect">
                      <a:avLst/>
                    </a:prstGeom>
                    <a:noFill/>
                    <a:ln w="9525">
                      <a:noFill/>
                      <a:headEnd/>
                      <a:tailEnd/>
                    </a:ln>
                  </pic:spPr>
                </pic:pic>
              </a:graphicData>
            </a:graphic>
          </wp:inline>
        </w:drawing>
      </w:r>
    </w:p>
    <w:p>
      <w:pPr>
        <w:pStyle w:val="ImageCaption"/>
      </w:pPr>
      <w:r>
        <w:t xml:space="preserve">Annual bottom temperature in the Mid-Atlantic Bight. (black = Paula’s, red = GLORYS)</w:t>
      </w:r>
    </w:p>
    <w:p>
      <w:pPr>
        <w:pStyle w:val="Heading3"/>
      </w:pPr>
      <w:bookmarkStart w:id="26" w:name="chlorophyll-and-primary-productivity"/>
      <w:r>
        <w:t xml:space="preserve">Chlorophyll and Primary Productivity</w:t>
      </w:r>
      <w:bookmarkEnd w:id="26"/>
    </w:p>
    <w:p>
      <w:pPr>
        <w:pStyle w:val="Heading4"/>
      </w:pPr>
      <w:bookmarkStart w:id="27" w:name="primary-production"/>
      <w:r>
        <w:t xml:space="preserve">Primary production</w:t>
      </w:r>
      <w:bookmarkEnd w:id="27"/>
    </w:p>
    <w:p>
      <w:pPr>
        <w:pStyle w:val="CaptionedFigure"/>
      </w:pPr>
      <w:r>
        <w:drawing>
          <wp:inline>
            <wp:extent cx="5334000" cy="2667000"/>
            <wp:effectExtent b="0" l="0" r="0" t="0"/>
            <wp:docPr descr="Monthly primary production trends show the annual cycle (i.e. the peak during the summer months) and the changes over time for each month." title="" id="1" name="Picture"/>
            <a:graphic>
              <a:graphicData uri="http://schemas.openxmlformats.org/drawingml/2006/picture">
                <pic:pic>
                  <pic:nvPicPr>
                    <pic:cNvPr descr="LTL_MAB_files/figure-docx/pp-monthly-1.png"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Monthly primary production trends show the annual cycle (i.e. the peak during the summer months) and the changes over time for each month.</w:t>
      </w:r>
    </w:p>
    <w:p>
      <w:pPr>
        <w:pStyle w:val="BodyText"/>
      </w:pPr>
      <w:r>
        <w:drawing>
          <wp:inline>
            <wp:extent cx="5334000" cy="4267200"/>
            <wp:effectExtent b="0" l="0" r="0" t="0"/>
            <wp:docPr descr="" title="" id="1" name="Picture"/>
            <a:graphic>
              <a:graphicData uri="http://schemas.openxmlformats.org/drawingml/2006/picture">
                <pic:pic>
                  <pic:nvPicPr>
                    <pic:cNvPr descr="LTL_MAB_files/figure-docx/chl-monthly-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0" w:name="sesonal-chlorophyll-a-primary-production"/>
      <w:r>
        <w:t xml:space="preserve">Sesonal chlorophyll</w:t>
      </w:r>
      <w:r>
        <w:t xml:space="preserve"> </w:t>
      </w:r>
      <w:r>
        <w:rPr>
          <w:i/>
        </w:rPr>
        <w:t xml:space="preserve">a</w:t>
      </w:r>
      <w:r>
        <w:t xml:space="preserve"> </w:t>
      </w:r>
      <w:r>
        <w:t xml:space="preserve">&amp; primary production</w:t>
      </w:r>
      <w:bookmarkEnd w:id="30"/>
    </w:p>
    <w:p>
      <w:pPr>
        <w:pStyle w:val="CaptionedFigure"/>
      </w:pPr>
      <w:r>
        <w:drawing>
          <wp:inline>
            <wp:extent cx="5334000" cy="4267200"/>
            <wp:effectExtent b="0" l="0" r="0" t="0"/>
            <wp:docPr descr="Weekly chlorophyll concentrations and primary productivity in the Mid-Atlantic are shown for by the colored line for 2020. The long-term mean is shown in black and shading indicates +/- 1 sample SD." title="" id="1" name="Picture"/>
            <a:graphic>
              <a:graphicData uri="http://schemas.openxmlformats.org/drawingml/2006/picture">
                <pic:pic>
                  <pic:nvPicPr>
                    <pic:cNvPr descr="LTL_MAB_files/figure-docx/chl-weekly-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Weekly chlorophyll concentrations and primary productivity in the Mid-Atlantic are shown for by the colored line for 2020. The long-term mean is shown in black and shading indicates +/- 1 sample SD.</w:t>
      </w:r>
    </w:p>
    <w:p>
      <w:pPr>
        <w:pStyle w:val="Heading4"/>
      </w:pPr>
      <w:bookmarkStart w:id="32" w:name="phytoplankton-size-class"/>
      <w:r>
        <w:t xml:space="preserve">Phytoplankton Size Class</w:t>
      </w:r>
      <w:bookmarkEnd w:id="32"/>
    </w:p>
    <w:p>
      <w:pPr>
        <w:pStyle w:val="FirstParagraph"/>
      </w:pPr>
      <w:r>
        <w:drawing>
          <wp:inline>
            <wp:extent cx="5334000" cy="4267200"/>
            <wp:effectExtent b="0" l="0" r="0" t="0"/>
            <wp:docPr descr="" title="" id="1" name="Picture"/>
            <a:graphic>
              <a:graphicData uri="http://schemas.openxmlformats.org/drawingml/2006/picture">
                <pic:pic>
                  <pic:nvPicPr>
                    <pic:cNvPr descr="LTL_MAB_files/figure-docx/weekly-phyto-size-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LTL_MAB_files/figure-docx/unnamed-chunk-1-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5" w:name="chesapeake-bay-water-quality-attainment"/>
      <w:r>
        <w:t xml:space="preserve">Chesapeake Bay Water Quality Attainment</w:t>
      </w:r>
      <w:bookmarkEnd w:id="35"/>
    </w:p>
    <w:p>
      <w:pPr>
        <w:pStyle w:val="FirstParagraph"/>
      </w:pPr>
      <w:r>
        <w:t xml:space="preserve">NO NEW DATA</w:t>
      </w:r>
    </w:p>
    <w:p>
      <w:pPr>
        <w:pStyle w:val="CaptionedFigure"/>
      </w:pPr>
      <w:r>
        <w:drawing>
          <wp:inline>
            <wp:extent cx="5334000" cy="2926291"/>
            <wp:effectExtent b="0" l="0" r="0" t="0"/>
            <wp:docPr descr="Water quality attainment in Chesapeake Bay following rolling three year assessment periods." title="" id="1" name="Picture"/>
            <a:graphic>
              <a:graphicData uri="http://schemas.openxmlformats.org/drawingml/2006/picture">
                <pic:pic>
                  <pic:nvPicPr>
                    <pic:cNvPr descr="LTL_MAB_files/figure-docx/ches-bay-wq-1.png" id="0" name="Picture"/>
                    <pic:cNvPicPr>
                      <a:picLocks noChangeArrowheads="1" noChangeAspect="1"/>
                    </pic:cNvPicPr>
                  </pic:nvPicPr>
                  <pic:blipFill>
                    <a:blip r:embed="rId36"/>
                    <a:stretch>
                      <a:fillRect/>
                    </a:stretch>
                  </pic:blipFill>
                  <pic:spPr bwMode="auto">
                    <a:xfrm>
                      <a:off x="0" y="0"/>
                      <a:ext cx="5334000" cy="2926291"/>
                    </a:xfrm>
                    <a:prstGeom prst="rect">
                      <a:avLst/>
                    </a:prstGeom>
                    <a:noFill/>
                    <a:ln w="9525">
                      <a:noFill/>
                      <a:headEnd/>
                      <a:tailEnd/>
                    </a:ln>
                  </pic:spPr>
                </pic:pic>
              </a:graphicData>
            </a:graphic>
          </wp:inline>
        </w:drawing>
      </w:r>
    </w:p>
    <w:p>
      <w:pPr>
        <w:pStyle w:val="ImageCaption"/>
      </w:pPr>
      <w:r>
        <w:t xml:space="preserve">Water quality attainment in Chesapeake Bay following rolling three year assessment periods.</w:t>
      </w:r>
    </w:p>
    <w:p>
      <w:pPr>
        <w:pStyle w:val="Heading3"/>
      </w:pPr>
      <w:bookmarkStart w:id="37" w:name="chesapeake-bay"/>
      <w:r>
        <w:t xml:space="preserve">Chesapeake Bay</w:t>
      </w:r>
      <w:bookmarkEnd w:id="37"/>
    </w:p>
    <w:p>
      <w:pPr>
        <w:pStyle w:val="FirstParagraph"/>
      </w:pPr>
      <w:r>
        <w:t xml:space="preserve">NO NEW DATA, only summary</w:t>
      </w:r>
    </w:p>
    <w:p>
      <w:pPr>
        <w:pStyle w:val="BodyText"/>
      </w:pPr>
      <w:r>
        <w:t xml:space="preserve">Headline: Warmer-than-average winter water temps in Chesapeake Bay likely help blue crabs, hurt striped bass numbers.</w:t>
      </w:r>
    </w:p>
    <w:p>
      <w:pPr>
        <w:pStyle w:val="BodyText"/>
      </w:pPr>
      <w:hyperlink r:id="rId38">
        <w:r>
          <w:rPr>
            <w:rStyle w:val="Hyperlink"/>
          </w:rPr>
          <w:t xml:space="preserve">Details here</w:t>
        </w:r>
      </w:hyperlink>
      <w:r>
        <w:t xml:space="preserve">.</w:t>
      </w:r>
    </w:p>
    <w:p>
      <w:pPr>
        <w:pStyle w:val="Heading3"/>
      </w:pPr>
      <w:bookmarkStart w:id="39" w:name="zooplankton"/>
      <w:r>
        <w:t xml:space="preserve">Zooplankton</w:t>
      </w:r>
      <w:bookmarkEnd w:id="39"/>
    </w:p>
    <w:p>
      <w:pPr>
        <w:pStyle w:val="Heading4"/>
      </w:pPr>
      <w:bookmarkStart w:id="40" w:name="euphausiids-cnidarians"/>
      <w:r>
        <w:t xml:space="preserve">Euphausiids + Cnidarians</w:t>
      </w:r>
      <w:bookmarkEnd w:id="40"/>
    </w:p>
    <w:p>
      <w:pPr>
        <w:pStyle w:val="CaptionedFigure"/>
      </w:pPr>
      <w:r>
        <w:drawing>
          <wp:inline>
            <wp:extent cx="5334000" cy="4267200"/>
            <wp:effectExtent b="0" l="0" r="0" t="0"/>
            <wp:docPr descr="Stratified abundance of cnidarians and euphausiids in Mid-Atlantic Bight." title="" id="1" name="Picture"/>
            <a:graphic>
              <a:graphicData uri="http://schemas.openxmlformats.org/drawingml/2006/picture">
                <pic:pic>
                  <pic:nvPicPr>
                    <pic:cNvPr descr="LTL_MAB_files/figure-docx/zoo-strat-abun-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Stratified abundance of cnidarians and euphausiids in Mid-Atlantic Bight.</w:t>
      </w:r>
    </w:p>
    <w:p>
      <w:pPr>
        <w:pStyle w:val="Heading4"/>
      </w:pPr>
      <w:bookmarkStart w:id="42" w:name="abundance-anomaly"/>
      <w:r>
        <w:t xml:space="preserve">Abundance anomaly</w:t>
      </w:r>
      <w:bookmarkEnd w:id="42"/>
    </w:p>
    <w:p>
      <w:pPr>
        <w:pStyle w:val="CaptionedFigure"/>
      </w:pPr>
      <w:r>
        <w:drawing>
          <wp:inline>
            <wp:extent cx="5334000" cy="4267200"/>
            <wp:effectExtent b="0" l="0" r="0" t="0"/>
            <wp:docPr descr="Large (red) and small-bodied (blue) copepod abundance in the Mid-Atlantic Bight." title="" id="1" name="Picture"/>
            <a:graphic>
              <a:graphicData uri="http://schemas.openxmlformats.org/drawingml/2006/picture">
                <pic:pic>
                  <pic:nvPicPr>
                    <pic:cNvPr descr="LTL_MAB_files/figure-docx/zoo-abund-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Large (red) and small-bodied (blue) copepod abundance in the Mid-Atlantic Bight.</w:t>
      </w:r>
    </w:p>
    <w:p>
      <w:pPr>
        <w:pStyle w:val="Heading4"/>
      </w:pPr>
      <w:bookmarkStart w:id="44" w:name="zooplankton-diversity"/>
      <w:r>
        <w:t xml:space="preserve">Zooplankton Diversity</w:t>
      </w:r>
      <w:bookmarkEnd w:id="44"/>
    </w:p>
    <w:p>
      <w:pPr>
        <w:pStyle w:val="CaptionedFigure"/>
      </w:pPr>
      <w:r>
        <w:drawing>
          <wp:inline>
            <wp:extent cx="5334000" cy="1861343"/>
            <wp:effectExtent b="0" l="0" r="0" t="0"/>
            <wp:docPr descr="Zooplankton diversity in the Mid-Atlantic Bight." title="" id="1" name="Picture"/>
            <a:graphic>
              <a:graphicData uri="http://schemas.openxmlformats.org/drawingml/2006/picture">
                <pic:pic>
                  <pic:nvPicPr>
                    <pic:cNvPr descr="LTL_MAB_files/figure-docx/zoo-diversity-1.png" id="0" name="Picture"/>
                    <pic:cNvPicPr>
                      <a:picLocks noChangeArrowheads="1" noChangeAspect="1"/>
                    </pic:cNvPicPr>
                  </pic:nvPicPr>
                  <pic:blipFill>
                    <a:blip r:embed="rId45"/>
                    <a:stretch>
                      <a:fillRect/>
                    </a:stretch>
                  </pic:blipFill>
                  <pic:spPr bwMode="auto">
                    <a:xfrm>
                      <a:off x="0" y="0"/>
                      <a:ext cx="5334000" cy="1861343"/>
                    </a:xfrm>
                    <a:prstGeom prst="rect">
                      <a:avLst/>
                    </a:prstGeom>
                    <a:noFill/>
                    <a:ln w="9525">
                      <a:noFill/>
                      <a:headEnd/>
                      <a:tailEnd/>
                    </a:ln>
                  </pic:spPr>
                </pic:pic>
              </a:graphicData>
            </a:graphic>
          </wp:inline>
        </w:drawing>
      </w:r>
    </w:p>
    <w:p>
      <w:pPr>
        <w:pStyle w:val="ImageCaption"/>
      </w:pPr>
      <w:r>
        <w:t xml:space="preserve">Zooplankton diversity in the Mid-Atlantic Bight.</w:t>
      </w:r>
    </w:p>
    <w:p>
      <w:pPr>
        <w:pStyle w:val="Heading4"/>
      </w:pPr>
      <w:bookmarkStart w:id="46" w:name="calanus-stage"/>
      <w:r>
        <w:t xml:space="preserve">Calanus Stage</w:t>
      </w:r>
      <w:bookmarkEnd w:id="46"/>
    </w:p>
    <w:p>
      <w:pPr>
        <w:pStyle w:val="FirstParagraph"/>
      </w:pPr>
      <w:r>
        <w:drawing>
          <wp:inline>
            <wp:extent cx="5334000" cy="4267200"/>
            <wp:effectExtent b="0" l="0" r="0" t="0"/>
            <wp:docPr descr="" title="" id="1" name="Picture"/>
            <a:graphic>
              <a:graphicData uri="http://schemas.openxmlformats.org/drawingml/2006/picture">
                <pic:pic>
                  <pic:nvPicPr>
                    <pic:cNvPr descr="LTL_MAB_files/figure-docx/calanus-stage-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TL_MAB_files/figure-docx/calanus-stage-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9" w:name="cold-pool-index"/>
      <w:r>
        <w:t xml:space="preserve">Cold Pool Index</w:t>
      </w:r>
      <w:bookmarkEnd w:id="49"/>
    </w:p>
    <w:p>
      <w:pPr>
        <w:pStyle w:val="CaptionedFigure"/>
      </w:pPr>
      <w:r>
        <w:drawing>
          <wp:inline>
            <wp:extent cx="5334000" cy="4267200"/>
            <wp:effectExtent b="0" l="0" r="0" t="0"/>
            <wp:docPr descr="Cold pool index." title="" id="1" name="Picture"/>
            <a:graphic>
              <a:graphicData uri="http://schemas.openxmlformats.org/drawingml/2006/picture">
                <pic:pic>
                  <pic:nvPicPr>
                    <pic:cNvPr descr="LTL_MAB_files/figure-docx/cold_pool-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Cold pool index.</w:t>
      </w:r>
    </w:p>
    <w:p>
      <w:pPr>
        <w:pStyle w:val="CaptionedFigure"/>
      </w:pPr>
      <w:r>
        <w:drawing>
          <wp:inline>
            <wp:extent cx="5334000" cy="4267200"/>
            <wp:effectExtent b="0" l="0" r="0" t="0"/>
            <wp:docPr descr="Map of cold pool area- final year (2018) in bold. Time series of cold pool spatial extent FROM 1993-2018." title="" id="1" name="Picture"/>
            <a:graphic>
              <a:graphicData uri="http://schemas.openxmlformats.org/drawingml/2006/picture">
                <pic:pic>
                  <pic:nvPicPr>
                    <pic:cNvPr descr="LTL_MAB_files/figure-docx/cold_pool_map-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Map of cold pool area- final year (2018) in bold. Time series of cold pool spatial extent FROM 1993-2018.</w:t>
      </w:r>
    </w:p>
    <w:p>
      <w:pPr>
        <w:pStyle w:val="CaptionedFigure"/>
      </w:pPr>
      <w:r>
        <w:drawing>
          <wp:inline>
            <wp:extent cx="5334000" cy="4267200"/>
            <wp:effectExtent b="0" l="0" r="0" t="0"/>
            <wp:docPr descr="Map of cold pool area." title="" id="1" name="Picture"/>
            <a:graphic>
              <a:graphicData uri="http://schemas.openxmlformats.org/drawingml/2006/picture">
                <pic:pic>
                  <pic:nvPicPr>
                    <pic:cNvPr descr="LTL_MAB_files/figure-docx/cold_pool_map2-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Map of cold pool area.</w:t>
      </w:r>
    </w:p>
    <w:p>
      <w:pPr>
        <w:pStyle w:val="Heading3"/>
      </w:pPr>
      <w:bookmarkStart w:id="53" w:name="marine-heat-wave"/>
      <w:r>
        <w:t xml:space="preserve">Marine Heat Wave</w:t>
      </w:r>
      <w:bookmarkEnd w:id="53"/>
    </w:p>
    <w:p>
      <w:pPr>
        <w:pStyle w:val="FirstParagraph"/>
      </w:pPr>
      <w:hyperlink r:id="rId54">
        <w:r>
          <w:rPr>
            <w:rStyle w:val="Hyperlink"/>
          </w:rPr>
          <w:t xml:space="preserve">notes here</w:t>
        </w:r>
      </w:hyperlink>
    </w:p>
    <w:p>
      <w:pPr>
        <w:pStyle w:val="CaptionedFigure"/>
      </w:pPr>
      <w:r>
        <w:drawing>
          <wp:inline>
            <wp:extent cx="5334000" cy="4267200"/>
            <wp:effectExtent b="0" l="0" r="0" t="0"/>
            <wp:docPr descr="Marine heatwave events (red) in the Mid-Atlantic occuring in 2020." title="" id="1" name="Picture"/>
            <a:graphic>
              <a:graphicData uri="http://schemas.openxmlformats.org/drawingml/2006/picture">
                <pic:pic>
                  <pic:nvPicPr>
                    <pic:cNvPr descr="LTL_MAB_files/figure-docx/heatwave-year-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Marine heatwave events (red) in the Mid-Atlantic occuring in 2020.</w:t>
      </w:r>
    </w:p>
    <w:p>
      <w:pPr>
        <w:pStyle w:val="CaptionedFigure"/>
      </w:pPr>
      <w:r>
        <w:drawing>
          <wp:inline>
            <wp:extent cx="5334000" cy="4267200"/>
            <wp:effectExtent b="0" l="0" r="0" t="0"/>
            <wp:docPr descr="Marine heatwave cumulative intesity (left) and maximum intensity (right) in the Mid-Atlantic Bight." title="" id="1" name="Picture"/>
            <a:graphic>
              <a:graphicData uri="http://schemas.openxmlformats.org/drawingml/2006/picture">
                <pic:pic>
                  <pic:nvPicPr>
                    <pic:cNvPr descr="LTL_MAB_files/figure-docx/heatwave-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Marine heatwave cumulative intesity (left) and maximum intensity (right) in the Mid-Atlantic Bight.</w:t>
      </w:r>
    </w:p>
    <w:p>
      <w:pPr>
        <w:pStyle w:val="CaptionedFigure"/>
      </w:pPr>
      <w:r>
        <w:drawing>
          <wp:inline>
            <wp:extent cx="5334000" cy="4267200"/>
            <wp:effectExtent b="0" l="0" r="0" t="0"/>
            <wp:docPr descr="Maximum intensity heatwave anomaly in the Mid-Atlantic Bight occuring on July 28, 2020." title="" id="1" name="Picture"/>
            <a:graphic>
              <a:graphicData uri="http://schemas.openxmlformats.org/drawingml/2006/picture">
                <pic:pic>
                  <pic:nvPicPr>
                    <pic:cNvPr descr="LTL_MAB_files/figure-docx/heatwave-anom-gridded-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Maximum intensity heatwave anomaly in the Mid-Atlantic Bight occuring on July 28, 2020.</w:t>
      </w:r>
    </w:p>
    <w:p>
      <w:pPr>
        <w:pStyle w:val="Heading3"/>
      </w:pPr>
      <w:bookmarkStart w:id="58" w:name="habitat-vulnerability"/>
      <w:r>
        <w:t xml:space="preserve">Habitat Vulnerability</w:t>
      </w:r>
      <w:bookmarkEnd w:id="58"/>
    </w:p>
    <w:p>
      <w:pPr>
        <w:pStyle w:val="FirstParagraph"/>
      </w:pPr>
      <w:hyperlink r:id="rId59">
        <w:r>
          <w:rPr>
            <w:rStyle w:val="Hyperlink"/>
          </w:rPr>
          <w:t xml:space="preserve">Habitat Table found here</w:t>
        </w:r>
      </w:hyperlink>
    </w:p>
    <w:p>
      <w:pPr>
        <w:pStyle w:val="Heading3"/>
      </w:pPr>
      <w:bookmarkStart w:id="60" w:name="ocean-acidication"/>
      <w:r>
        <w:t xml:space="preserve">Ocean Acidication</w:t>
      </w:r>
      <w:bookmarkEnd w:id="60"/>
    </w:p>
    <w:p>
      <w:pPr>
        <w:pStyle w:val="CaptionedFigure"/>
      </w:pPr>
      <w:r>
        <w:drawing>
          <wp:inline>
            <wp:extent cx="5334000" cy="4936090"/>
            <wp:effectExtent b="0" l="0" r="0" t="0"/>
            <wp:docPr descr="Seasonal glider-based pH observations on the Mid-Atlantic Bight shelf (New Jersey cross-shelf transect) in relation to Atlantic surfclam and Atlantic sea scallop habitats (modified from Wright-Fairbanks et al. 2020)." title="" id="1" name="Picture"/>
            <a:graphic>
              <a:graphicData uri="http://schemas.openxmlformats.org/drawingml/2006/picture">
                <pic:pic>
                  <pic:nvPicPr>
                    <pic:cNvPr descr="/Users/bbest/github/ecodata_bbest/docs/images/Seasonal%20pH%20on%20MAB%20shelf%20-%20Grace%20Saba.jpg" id="0" name="Picture"/>
                    <pic:cNvPicPr>
                      <a:picLocks noChangeArrowheads="1" noChangeAspect="1"/>
                    </pic:cNvPicPr>
                  </pic:nvPicPr>
                  <pic:blipFill>
                    <a:blip r:embed="rId61"/>
                    <a:stretch>
                      <a:fillRect/>
                    </a:stretch>
                  </pic:blipFill>
                  <pic:spPr bwMode="auto">
                    <a:xfrm>
                      <a:off x="0" y="0"/>
                      <a:ext cx="5334000" cy="4936090"/>
                    </a:xfrm>
                    <a:prstGeom prst="rect">
                      <a:avLst/>
                    </a:prstGeom>
                    <a:noFill/>
                    <a:ln w="9525">
                      <a:noFill/>
                      <a:headEnd/>
                      <a:tailEnd/>
                    </a:ln>
                  </pic:spPr>
                </pic:pic>
              </a:graphicData>
            </a:graphic>
          </wp:inline>
        </w:drawing>
      </w:r>
    </w:p>
    <w:p>
      <w:pPr>
        <w:pStyle w:val="ImageCaption"/>
      </w:pPr>
      <w:r>
        <w:t xml:space="preserve">Seasonal glider-based pH observations on the Mid-Atlantic Bight shelf (New Jersey cross-shelf transect) in relation to Atlantic surfclam and Atlantic sea scallop habitats (modified from Wright-Fairbanks et al. 2020).</w:t>
      </w:r>
    </w:p>
    <w:p>
      <w:pPr>
        <w:pStyle w:val="Heading2"/>
      </w:pPr>
      <w:bookmarkStart w:id="62" w:name="shelfwide-indicators"/>
      <w:r>
        <w:t xml:space="preserve">Shelfwide Indicators</w:t>
      </w:r>
      <w:bookmarkEnd w:id="62"/>
    </w:p>
    <w:p>
      <w:pPr>
        <w:pStyle w:val="Heading3"/>
      </w:pPr>
      <w:bookmarkStart w:id="63" w:name="seasonal-sst-anomaly"/>
      <w:r>
        <w:t xml:space="preserve">Seasonal SST anomaly</w:t>
      </w:r>
      <w:bookmarkEnd w:id="63"/>
    </w:p>
    <w:p>
      <w:pPr>
        <w:pStyle w:val="CaptionedFigure"/>
      </w:pPr>
      <w:r>
        <w:drawing>
          <wp:inline>
            <wp:extent cx="5334000" cy="8534400"/>
            <wp:effectExtent b="0" l="0" r="0" t="0"/>
            <wp:docPr descr="Seasonal sea surface temperature anomalies for 2020 over the Northeast US Shelf." title="" id="1" name="Picture"/>
            <a:graphic>
              <a:graphicData uri="http://schemas.openxmlformats.org/drawingml/2006/picture">
                <pic:pic>
                  <pic:nvPicPr>
                    <pic:cNvPr descr="LTL_MAB_files/figure-docx/shelf-seasonal-sst-anomaly-gridded-1.png" id="0" name="Picture"/>
                    <pic:cNvPicPr>
                      <a:picLocks noChangeArrowheads="1" noChangeAspect="1"/>
                    </pic:cNvPicPr>
                  </pic:nvPicPr>
                  <pic:blipFill>
                    <a:blip r:embed="rId64"/>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Seasonal sea surface temperature anomalies for 2020 over the Northeast US Shelf.</w:t>
      </w:r>
    </w:p>
    <w:p>
      <w:pPr>
        <w:pStyle w:val="Heading3"/>
      </w:pPr>
      <w:bookmarkStart w:id="65" w:name="long-term-sst"/>
      <w:r>
        <w:t xml:space="preserve">Long-term SST</w:t>
      </w:r>
      <w:bookmarkEnd w:id="65"/>
    </w:p>
    <w:p>
      <w:pPr>
        <w:pStyle w:val="CaptionedFigure"/>
      </w:pPr>
      <w:r>
        <w:drawing>
          <wp:inline>
            <wp:extent cx="5334000" cy="4267200"/>
            <wp:effectExtent b="0" l="0" r="0" t="0"/>
            <wp:docPr descr="Average annual sea surface temperature (SST) over the Northeast US Shelf." title="" id="1" name="Picture"/>
            <a:graphic>
              <a:graphicData uri="http://schemas.openxmlformats.org/drawingml/2006/picture">
                <pic:pic>
                  <pic:nvPicPr>
                    <pic:cNvPr descr="LTL_MAB_files/figure-docx/long-term-sst-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Average annual sea surface temperature (SST) over the Northeast US Shelf.</w:t>
      </w:r>
    </w:p>
    <w:p>
      <w:pPr>
        <w:pStyle w:val="Heading3"/>
      </w:pPr>
      <w:bookmarkStart w:id="67" w:name="gsi"/>
      <w:r>
        <w:t xml:space="preserve">GSI</w:t>
      </w:r>
      <w:bookmarkEnd w:id="67"/>
    </w:p>
    <w:p>
      <w:pPr>
        <w:pStyle w:val="FirstParagraph"/>
      </w:pPr>
      <w:hyperlink r:id="rId68">
        <w:r>
          <w:rPr>
            <w:rStyle w:val="Hyperlink"/>
          </w:rPr>
          <w:t xml:space="preserve">Notes</w:t>
        </w:r>
      </w:hyperlink>
    </w:p>
    <w:p>
      <w:pPr>
        <w:pStyle w:val="CaptionedFigure"/>
      </w:pPr>
      <w:r>
        <w:drawing>
          <wp:inline>
            <wp:extent cx="5334000" cy="2933700"/>
            <wp:effectExtent b="0" l="0" r="0" t="0"/>
            <wp:docPr descr="Index representing the north wall of the Gulf Stream. Positive values represent a more northerly Gulf Stream position." title="" id="1" name="Picture"/>
            <a:graphic>
              <a:graphicData uri="http://schemas.openxmlformats.org/drawingml/2006/picture">
                <pic:pic>
                  <pic:nvPicPr>
                    <pic:cNvPr descr="LTL_MAB_files/figure-docx/gsi-1.png" id="0" name="Picture"/>
                    <pic:cNvPicPr>
                      <a:picLocks noChangeArrowheads="1" noChangeAspect="1"/>
                    </pic:cNvPicPr>
                  </pic:nvPicPr>
                  <pic:blipFill>
                    <a:blip r:embed="rId69"/>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r>
        <w:t xml:space="preserve">Index representing the north wall of the Gulf Stream. Positive values represent a more northerly Gulf Stream position.</w:t>
      </w:r>
    </w:p>
    <w:p>
      <w:pPr>
        <w:pStyle w:val="Heading3"/>
      </w:pPr>
      <w:bookmarkStart w:id="70" w:name="warm-core-rings"/>
      <w:r>
        <w:t xml:space="preserve">Warm Core Rings</w:t>
      </w:r>
      <w:bookmarkEnd w:id="70"/>
    </w:p>
    <w:p>
      <w:pPr>
        <w:pStyle w:val="CaptionedFigure"/>
      </w:pPr>
      <w:r>
        <w:drawing>
          <wp:inline>
            <wp:extent cx="5334000" cy="4267200"/>
            <wp:effectExtent b="0" l="0" r="0" t="0"/>
            <wp:docPr descr="Warm core ring formation on the Northeast US Shelf." title="" id="1" name="Picture"/>
            <a:graphic>
              <a:graphicData uri="http://schemas.openxmlformats.org/drawingml/2006/picture">
                <pic:pic>
                  <pic:nvPicPr>
                    <pic:cNvPr descr="LTL_MAB_files/figure-docx/wcr-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Warm core ring formation on the Northeast US Shelf.</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jpg"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69" Target="media/rId69.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64" Target="media/rId64.png" /><Relationship Type="http://schemas.openxmlformats.org/officeDocument/2006/relationships/image" Id="rId34" Target="media/rId34.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hyperlink" Id="rId68" Target="https://docs.google.com/document/d/1SgZ9m4pal3ygKnUSYr4UwgOoMJeaKzpO/edit" TargetMode="External" /><Relationship Type="http://schemas.openxmlformats.org/officeDocument/2006/relationships/hyperlink" Id="rId38" Target="https://docs.google.com/document/u/1/d/12Aq9nxrdrtZKESoZ8KtW152i0amf_O54/edit?usp=drive_web&amp;ouid=111390006230717850267&amp;rtpof=true" TargetMode="External" /><Relationship Type="http://schemas.openxmlformats.org/officeDocument/2006/relationships/hyperlink" Id="rId54" Target="https://docs.google.com/document/u/1/d/1ik6aAXY85DEgLmz4BaBwxtdEPq6e9xXo/edit?usp=drive_web&amp;ouid=111390006230717850267&amp;rtpof=true" TargetMode="External" /><Relationship Type="http://schemas.openxmlformats.org/officeDocument/2006/relationships/hyperlink" Id="rId59" Target="https://noaa-edab.github.io/ecodata/Hab_table" TargetMode="External" /></Relationships>
</file>

<file path=word/_rels/footnotes.xml.rels><?xml version="1.0" encoding="UTF-8"?>
<Relationships xmlns="http://schemas.openxmlformats.org/package/2006/relationships"><Relationship Type="http://schemas.openxmlformats.org/officeDocument/2006/relationships/hyperlink" Id="rId68" Target="https://docs.google.com/document/d/1SgZ9m4pal3ygKnUSYr4UwgOoMJeaKzpO/edit" TargetMode="External" /><Relationship Type="http://schemas.openxmlformats.org/officeDocument/2006/relationships/hyperlink" Id="rId38" Target="https://docs.google.com/document/u/1/d/12Aq9nxrdrtZKESoZ8KtW152i0amf_O54/edit?usp=drive_web&amp;ouid=111390006230717850267&amp;rtpof=true" TargetMode="External" /><Relationship Type="http://schemas.openxmlformats.org/officeDocument/2006/relationships/hyperlink" Id="rId54" Target="https://docs.google.com/document/u/1/d/1ik6aAXY85DEgLmz4BaBwxtdEPq6e9xXo/edit?usp=drive_web&amp;ouid=111390006230717850267&amp;rtpof=true" TargetMode="External" /><Relationship Type="http://schemas.openxmlformats.org/officeDocument/2006/relationships/hyperlink" Id="rId59" Target="https://noaa-edab.github.io/ecodata/Hab_tab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and LTL Indicators MAB and Shelf-wide</dc:title>
  <dc:creator/>
  <cp:keywords/>
  <dcterms:created xsi:type="dcterms:W3CDTF">2021-01-19T15:20:44Z</dcterms:created>
  <dcterms:modified xsi:type="dcterms:W3CDTF">2021-01-19T15:20:44Z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