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7.png" ContentType="image/png"/>
  <Override PartName="/word/media/rId33.png" ContentType="image/png"/>
  <Override PartName="/word/media/rId35.png" ContentType="image/png"/>
  <Override PartName="/word/media/rId36.png" ContentType="image/png"/>
  <Override PartName="/word/media/rId49.png" ContentType="image/png"/>
  <Override PartName="/word/media/rId50.png" ContentType="image/png"/>
  <Override PartName="/word/media/rId47.png" ContentType="image/png"/>
  <Override PartName="/word/media/rId48.png" ContentType="image/png"/>
  <Override PartName="/word/media/rId60.png" ContentType="image/png"/>
  <Override PartName="/word/media/rId62.png" ContentType="image/png"/>
  <Override PartName="/word/media/rId63.png" ContentType="image/png"/>
  <Override PartName="/word/media/rId57.png" ContentType="image/png"/>
  <Override PartName="/word/media/rId58.png" ContentType="image/png"/>
  <Override PartName="/word/media/rId32.png" ContentType="image/png"/>
  <Override PartName="/word/media/rId24.png" ContentType="image/png"/>
  <Override PartName="/word/media/rId23.png" ContentType="image/png"/>
  <Override PartName="/word/media/rId29.png" ContentType="image/png"/>
  <Override PartName="/word/media/rId40.png" ContentType="image/png"/>
  <Override PartName="/word/media/rId38.png" ContentType="image/png"/>
  <Override PartName="/word/media/rId39.png" ContentType="image/png"/>
  <Override PartName="/word/media/rId45.png" ContentType="image/png"/>
  <Override PartName="/word/media/rId52.png" ContentType="image/png"/>
  <Override PartName="/word/media/rId53.png" ContentType="image/png"/>
  <Override PartName="/word/media/rId4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Environmental</w:t>
      </w:r>
      <w:r>
        <w:t xml:space="preserve"> </w:t>
      </w:r>
      <w:r>
        <w:t xml:space="preserve">and</w:t>
      </w:r>
      <w:r>
        <w:t xml:space="preserve"> </w:t>
      </w:r>
      <w:r>
        <w:t xml:space="preserve">LTL</w:t>
      </w:r>
      <w:r>
        <w:t xml:space="preserve"> </w:t>
      </w:r>
      <w:r>
        <w:t xml:space="preserve">Indicators</w:t>
      </w:r>
      <w:r>
        <w:t xml:space="preserve"> </w:t>
      </w:r>
      <w:r>
        <w:t xml:space="preserve">GB</w:t>
      </w:r>
      <w:r>
        <w:t xml:space="preserve"> </w:t>
      </w:r>
      <w:r>
        <w:t xml:space="preserve">and</w:t>
      </w:r>
      <w:r>
        <w:t xml:space="preserve"> </w:t>
      </w:r>
      <w:r>
        <w:t xml:space="preserve">GOM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Trend lines are shown when slope is significantly different from 0 at the p &lt; 0.05 level. An orange line signifies an overall positive trend, and purple signifies a negative trend. Note that in the final report we will only test for trend when N &gt;= 30. However, I have relaxed that requirement for the purposes of this document so that trends are highlighted when N &gt;= 20.</w:t>
      </w:r>
      <w:r>
        <w:t xml:space="preserve"> </w:t>
      </w:r>
      <w:r>
        <w:rPr>
          <w:b/>
        </w:rPr>
        <w:t xml:space="preserve">This means that some trends shown here will not be present in the final document</w:t>
      </w:r>
      <w:r>
        <w:t xml:space="preserve">. Dashed lines represent mean values of time series unless the indicator is an anomaly, in which case the dashed line is equal to 0. Shaded regions indicate the past ten years. If there are no new data for 2018, the shaded region will still cover this time period.</w:t>
      </w:r>
    </w:p>
    <w:p>
      <w:pPr>
        <w:pStyle w:val="Heading2"/>
      </w:pPr>
      <w:bookmarkStart w:id="20" w:name="gulf-of-maine-georges-bank"/>
      <w:r>
        <w:t xml:space="preserve">Gulf of Maine &amp; Georges Bank</w:t>
      </w:r>
      <w:bookmarkEnd w:id="20"/>
    </w:p>
    <w:p>
      <w:pPr>
        <w:pStyle w:val="Heading3"/>
      </w:pPr>
      <w:bookmarkStart w:id="21" w:name="ocean-temperature"/>
      <w:r>
        <w:t xml:space="preserve">Ocean Temperature</w:t>
      </w:r>
      <w:bookmarkEnd w:id="21"/>
    </w:p>
    <w:p>
      <w:pPr>
        <w:pStyle w:val="Heading4"/>
      </w:pPr>
      <w:bookmarkStart w:id="22" w:name="sst"/>
      <w:r>
        <w:t xml:space="preserve">SST</w:t>
      </w:r>
      <w:bookmarkEnd w:id="22"/>
    </w:p>
    <w:p>
      <w:pPr>
        <w:pStyle w:val="CaptionedFigure"/>
      </w:pPr>
      <w:r>
        <w:drawing>
          <wp:inline>
            <wp:extent cx="5334000" cy="5334000"/>
            <wp:effectExtent b="0" l="0" r="0" t="0"/>
            <wp:docPr descr="GB and GOM 2020 seasonal sea surface temperature spatial anomalies." title="" id="1" name="Picture"/>
            <a:graphic>
              <a:graphicData uri="http://schemas.openxmlformats.org/drawingml/2006/picture">
                <pic:pic>
                  <pic:nvPicPr>
                    <pic:cNvPr descr="LTL_NE_files/figure-docx/seasonal-sst-anomaly-gridded-1.png" id="0" name="Picture"/>
                    <pic:cNvPicPr>
                      <a:picLocks noChangeArrowheads="1" noChangeAspect="1"/>
                    </pic:cNvPicPr>
                  </pic:nvPicPr>
                  <pic:blipFill>
                    <a:blip r:embed="rId2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GB and GOM 2020 seasonal sea surface temperature spatial anomalies.</w:t>
      </w:r>
    </w:p>
    <w:p>
      <w:pPr>
        <w:pStyle w:val="CaptionedFigure"/>
      </w:pPr>
      <w:r>
        <w:drawing>
          <wp:inline>
            <wp:extent cx="5334000" cy="2667000"/>
            <wp:effectExtent b="0" l="0" r="0" t="0"/>
            <wp:docPr descr="GB and GOM seasonal sea surface temperature anomaly time series." title="" id="1" name="Picture"/>
            <a:graphic>
              <a:graphicData uri="http://schemas.openxmlformats.org/drawingml/2006/picture">
                <pic:pic>
                  <pic:nvPicPr>
                    <pic:cNvPr descr="LTL_NE_files/figure-docx/seasonal-oisst-anom-1.png" id="0" name="Picture"/>
                    <pic:cNvPicPr>
                      <a:picLocks noChangeArrowheads="1" noChangeAspect="1"/>
                    </pic:cNvPicPr>
                  </pic:nvPicPr>
                  <pic:blipFill>
                    <a:blip r:embed="rId2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GB and GOM seasonal sea surface temperature anomaly time series.</w:t>
      </w:r>
    </w:p>
    <w:p>
      <w:pPr>
        <w:pStyle w:val="Heading4"/>
      </w:pPr>
      <w:bookmarkStart w:id="25" w:name="bottom-temperature"/>
      <w:r>
        <w:t xml:space="preserve">Bottom temperature</w:t>
      </w:r>
      <w:bookmarkEnd w:id="25"/>
    </w:p>
    <w:p>
      <w:pPr>
        <w:pStyle w:val="FirstParagraph"/>
      </w:pPr>
      <w:r>
        <w:drawing>
          <wp:inline>
            <wp:extent cx="5334000" cy="2926291"/>
            <wp:effectExtent b="0" l="0" r="0" t="0"/>
            <wp:docPr descr="Annual bottom temperature in the New England (black = Paula’s, red = GLORYS)." title="" id="1" name="Picture"/>
            <a:graphic>
              <a:graphicData uri="http://schemas.openxmlformats.org/drawingml/2006/picture">
                <pic:pic>
                  <pic:nvPicPr>
                    <pic:cNvPr descr="LTL_NE_files/figure-docx/bottom-temp-glorys-1.png" id="0" name="Picture"/>
                    <pic:cNvPicPr>
                      <a:picLocks noChangeArrowheads="1" noChangeAspect="1"/>
                    </pic:cNvPicPr>
                  </pic:nvPicPr>
                  <pic:blipFill>
                    <a:blip r:embed="rId26"/>
                    <a:stretch>
                      <a:fillRect/>
                    </a:stretch>
                  </pic:blipFill>
                  <pic:spPr bwMode="auto">
                    <a:xfrm>
                      <a:off x="0" y="0"/>
                      <a:ext cx="5334000" cy="2926291"/>
                    </a:xfrm>
                    <a:prstGeom prst="rect">
                      <a:avLst/>
                    </a:prstGeom>
                    <a:noFill/>
                    <a:ln w="9525">
                      <a:noFill/>
                      <a:headEnd/>
                      <a:tailEnd/>
                    </a:ln>
                  </pic:spPr>
                </pic:pic>
              </a:graphicData>
            </a:graphic>
          </wp:inline>
        </w:drawing>
      </w:r>
      <w:r>
        <w:drawing>
          <wp:inline>
            <wp:extent cx="5334000" cy="2926291"/>
            <wp:effectExtent b="0" l="0" r="0" t="0"/>
            <wp:docPr descr="Annual bottom temperature in the New England (black = Paula’s, red = GLORYS)." title="" id="1" name="Picture"/>
            <a:graphic>
              <a:graphicData uri="http://schemas.openxmlformats.org/drawingml/2006/picture">
                <pic:pic>
                  <pic:nvPicPr>
                    <pic:cNvPr descr="LTL_NE_files/figure-docx/bottom-temp-glorys-2.png" id="0" name="Picture"/>
                    <pic:cNvPicPr>
                      <a:picLocks noChangeArrowheads="1" noChangeAspect="1"/>
                    </pic:cNvPicPr>
                  </pic:nvPicPr>
                  <pic:blipFill>
                    <a:blip r:embed="rId27"/>
                    <a:stretch>
                      <a:fillRect/>
                    </a:stretch>
                  </pic:blipFill>
                  <pic:spPr bwMode="auto">
                    <a:xfrm>
                      <a:off x="0" y="0"/>
                      <a:ext cx="5334000" cy="2926291"/>
                    </a:xfrm>
                    <a:prstGeom prst="rect">
                      <a:avLst/>
                    </a:prstGeom>
                    <a:noFill/>
                    <a:ln w="9525">
                      <a:noFill/>
                      <a:headEnd/>
                      <a:tailEnd/>
                    </a:ln>
                  </pic:spPr>
                </pic:pic>
              </a:graphicData>
            </a:graphic>
          </wp:inline>
        </w:drawing>
      </w:r>
    </w:p>
    <w:p>
      <w:pPr>
        <w:pStyle w:val="Heading4"/>
      </w:pPr>
      <w:bookmarkStart w:id="28" w:name="gom-slopewater-proportions"/>
      <w:r>
        <w:t xml:space="preserve">GOM Slopewater Proportions</w:t>
      </w:r>
      <w:bookmarkEnd w:id="28"/>
    </w:p>
    <w:p>
      <w:pPr>
        <w:pStyle w:val="CaptionedFigure"/>
      </w:pPr>
      <w:r>
        <w:drawing>
          <wp:inline>
            <wp:extent cx="5334000" cy="2933700"/>
            <wp:effectExtent b="0" l="0" r="0" t="0"/>
            <wp:docPr descr="Proportion of warm slope water (WSW) and Labrador slope water (LSLW) entering the Gulf of Maine through the Northeast Channel." title="" id="1" name="Picture"/>
            <a:graphic>
              <a:graphicData uri="http://schemas.openxmlformats.org/drawingml/2006/picture">
                <pic:pic>
                  <pic:nvPicPr>
                    <pic:cNvPr descr="LTL_NE_files/figure-docx/slopewater-1.png" id="0" name="Picture"/>
                    <pic:cNvPicPr>
                      <a:picLocks noChangeArrowheads="1" noChangeAspect="1"/>
                    </pic:cNvPicPr>
                  </pic:nvPicPr>
                  <pic:blipFill>
                    <a:blip r:embed="rId29"/>
                    <a:stretch>
                      <a:fillRect/>
                    </a:stretch>
                  </pic:blipFill>
                  <pic:spPr bwMode="auto">
                    <a:xfrm>
                      <a:off x="0" y="0"/>
                      <a:ext cx="5334000" cy="2933700"/>
                    </a:xfrm>
                    <a:prstGeom prst="rect">
                      <a:avLst/>
                    </a:prstGeom>
                    <a:noFill/>
                    <a:ln w="9525">
                      <a:noFill/>
                      <a:headEnd/>
                      <a:tailEnd/>
                    </a:ln>
                  </pic:spPr>
                </pic:pic>
              </a:graphicData>
            </a:graphic>
          </wp:inline>
        </w:drawing>
      </w:r>
    </w:p>
    <w:p>
      <w:pPr>
        <w:pStyle w:val="ImageCaption"/>
      </w:pPr>
      <w:r>
        <w:t xml:space="preserve">Proportion of warm slope water (WSW) and Labrador slope water (LSLW) entering the Gulf of Maine through the Northeast Channel.</w:t>
      </w:r>
    </w:p>
    <w:p>
      <w:pPr>
        <w:pStyle w:val="Heading3"/>
      </w:pPr>
      <w:bookmarkStart w:id="30" w:name="chlorophyll-and-primary-productivity"/>
      <w:r>
        <w:t xml:space="preserve">Chlorophyll and Primary Productivity</w:t>
      </w:r>
      <w:bookmarkEnd w:id="30"/>
    </w:p>
    <w:p>
      <w:pPr>
        <w:pStyle w:val="Heading4"/>
      </w:pPr>
      <w:bookmarkStart w:id="31" w:name="primary-production"/>
      <w:r>
        <w:t xml:space="preserve">Primary production</w:t>
      </w:r>
      <w:bookmarkEnd w:id="31"/>
    </w:p>
    <w:p>
      <w:pPr>
        <w:pStyle w:val="CaptionedFigure"/>
      </w:pPr>
      <w:r>
        <w:drawing>
          <wp:inline>
            <wp:extent cx="5334000" cy="5334000"/>
            <wp:effectExtent b="0" l="0" r="0" t="0"/>
            <wp:docPr descr="Monthly primary production trends show the annual cycle (i.e. the peak during the summer months) and the changes over time for each month." title="" id="1" name="Picture"/>
            <a:graphic>
              <a:graphicData uri="http://schemas.openxmlformats.org/drawingml/2006/picture">
                <pic:pic>
                  <pic:nvPicPr>
                    <pic:cNvPr descr="LTL_NE_files/figure-docx/pp-monthly-1.png" id="0" name="Picture"/>
                    <pic:cNvPicPr>
                      <a:picLocks noChangeArrowheads="1" noChangeAspect="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Monthly primary production trends show the annual cycle (i.e. the peak during the summer months) and the changes over time for each month.</w:t>
      </w:r>
    </w:p>
    <w:p>
      <w:pPr>
        <w:pStyle w:val="CaptionedFigure"/>
      </w:pPr>
      <w:r>
        <w:drawing>
          <wp:inline>
            <wp:extent cx="5334000" cy="5334000"/>
            <wp:effectExtent b="0" l="0" r="0" t="0"/>
            <wp:docPr descr="Monthly chlorophyll trends show the annual cycle (i.e. the peak during the summer months) and the changes over time for each month." title="" id="1" name="Picture"/>
            <a:graphic>
              <a:graphicData uri="http://schemas.openxmlformats.org/drawingml/2006/picture">
                <pic:pic>
                  <pic:nvPicPr>
                    <pic:cNvPr descr="LTL_NE_files/figure-docx/chl-monthly-1.png" id="0" name="Picture"/>
                    <pic:cNvPicPr>
                      <a:picLocks noChangeArrowheads="1" noChangeAspect="1"/>
                    </pic:cNvPicPr>
                  </pic:nvPicPr>
                  <pic:blipFill>
                    <a:blip r:embed="rId3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Monthly chlorophyll trends show the annual cycle (i.e. the peak during the summer months) and the changes over time for each month.</w:t>
      </w:r>
    </w:p>
    <w:p>
      <w:pPr>
        <w:pStyle w:val="Heading4"/>
      </w:pPr>
      <w:bookmarkStart w:id="34" w:name="X1c6c4c256e909f52c800ca7f379aca52aef34f6"/>
      <w:r>
        <w:t xml:space="preserve">Seasonal chlorophyll</w:t>
      </w:r>
      <w:r>
        <w:t xml:space="preserve"> </w:t>
      </w:r>
      <w:r>
        <w:rPr>
          <w:i/>
        </w:rPr>
        <w:t xml:space="preserve">a</w:t>
      </w:r>
      <w:r>
        <w:t xml:space="preserve"> </w:t>
      </w:r>
      <w:r>
        <w:t xml:space="preserve">&amp; primary production</w:t>
      </w:r>
      <w:bookmarkEnd w:id="34"/>
    </w:p>
    <w:p>
      <w:pPr>
        <w:pStyle w:val="FirstParagraph"/>
      </w:pPr>
      <w:r>
        <w:drawing>
          <wp:inline>
            <wp:extent cx="5334000" cy="2667000"/>
            <wp:effectExtent b="0" l="0" r="0" t="0"/>
            <wp:docPr descr="Weekly chlorophyll concentrations and primary productivity for 2020 in Georges Bank and Gulf of Maine are shown by the colored lines in the above figures. The long-term mean is shown in black and shading indicates +/- 1 sample SD." title="" id="1" name="Picture"/>
            <a:graphic>
              <a:graphicData uri="http://schemas.openxmlformats.org/drawingml/2006/picture">
                <pic:pic>
                  <pic:nvPicPr>
                    <pic:cNvPr descr="LTL_NE_files/figure-docx/chl-weekly-1.png" id="0" name="Picture"/>
                    <pic:cNvPicPr>
                      <a:picLocks noChangeArrowheads="1" noChangeAspect="1"/>
                    </pic:cNvPicPr>
                  </pic:nvPicPr>
                  <pic:blipFill>
                    <a:blip r:embed="rId35"/>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Weekly chlorophyll concentrations and primary productivity for 2020 in Georges Bank and Gulf of Maine are shown by the colored lines in the above figures. The long-term mean is shown in black and shading indicates +/- 1 sample SD." title="" id="1" name="Picture"/>
            <a:graphic>
              <a:graphicData uri="http://schemas.openxmlformats.org/drawingml/2006/picture">
                <pic:pic>
                  <pic:nvPicPr>
                    <pic:cNvPr descr="LTL_NE_files/figure-docx/chl-weekly-2.png" id="0" name="Picture"/>
                    <pic:cNvPicPr>
                      <a:picLocks noChangeArrowheads="1" noChangeAspect="1"/>
                    </pic:cNvPicPr>
                  </pic:nvPicPr>
                  <pic:blipFill>
                    <a:blip r:embed="rId36"/>
                    <a:stretch>
                      <a:fillRect/>
                    </a:stretch>
                  </pic:blipFill>
                  <pic:spPr bwMode="auto">
                    <a:xfrm>
                      <a:off x="0" y="0"/>
                      <a:ext cx="5334000" cy="2667000"/>
                    </a:xfrm>
                    <a:prstGeom prst="rect">
                      <a:avLst/>
                    </a:prstGeom>
                    <a:noFill/>
                    <a:ln w="9525">
                      <a:noFill/>
                      <a:headEnd/>
                      <a:tailEnd/>
                    </a:ln>
                  </pic:spPr>
                </pic:pic>
              </a:graphicData>
            </a:graphic>
          </wp:inline>
        </w:drawing>
      </w:r>
    </w:p>
    <w:p>
      <w:pPr>
        <w:pStyle w:val="Heading4"/>
      </w:pPr>
      <w:bookmarkStart w:id="37" w:name="phytoplankton-size-class"/>
      <w:r>
        <w:t xml:space="preserve">Phytoplankton Size Class</w:t>
      </w:r>
      <w:bookmarkEnd w:id="37"/>
    </w:p>
    <w:p>
      <w:pPr>
        <w:pStyle w:val="FirstParagraph"/>
      </w:pPr>
      <w:r>
        <w:drawing>
          <wp:inline>
            <wp:extent cx="5334000" cy="4267200"/>
            <wp:effectExtent b="0" l="0" r="0" t="0"/>
            <wp:docPr descr="" title="" id="1" name="Picture"/>
            <a:graphic>
              <a:graphicData uri="http://schemas.openxmlformats.org/drawingml/2006/picture">
                <pic:pic>
                  <pic:nvPicPr>
                    <pic:cNvPr descr="LTL_NE_files/figure-docx/weekly-phyto-size-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LTL_NE_files/figure-docx/weekly-phyto-size-2.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LTL_NE_files/figure-docx/unnamed-chunk-1-1.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41" w:name="zooplankton"/>
      <w:r>
        <w:t xml:space="preserve">Zooplankton</w:t>
      </w:r>
      <w:bookmarkEnd w:id="41"/>
    </w:p>
    <w:p>
      <w:pPr>
        <w:pStyle w:val="Heading4"/>
      </w:pPr>
      <w:bookmarkStart w:id="42" w:name="euphausiids-cnidarians"/>
      <w:r>
        <w:t xml:space="preserve">Euphausiids + Cnidarians</w:t>
      </w:r>
      <w:bookmarkEnd w:id="42"/>
    </w:p>
    <w:p>
      <w:pPr>
        <w:pStyle w:val="CaptionedFigure"/>
      </w:pPr>
      <w:r>
        <w:drawing>
          <wp:inline>
            <wp:extent cx="5334000" cy="2667000"/>
            <wp:effectExtent b="0" l="0" r="0" t="0"/>
            <wp:docPr descr="Stratified abundance of cnidarians and euphausiids in Mid-Atlantic Bight." title="" id="1" name="Picture"/>
            <a:graphic>
              <a:graphicData uri="http://schemas.openxmlformats.org/drawingml/2006/picture">
                <pic:pic>
                  <pic:nvPicPr>
                    <pic:cNvPr descr="LTL_NE_files/figure-docx/zoo-strat-abun-1.png" id="0" name="Picture"/>
                    <pic:cNvPicPr>
                      <a:picLocks noChangeArrowheads="1" noChangeAspect="1"/>
                    </pic:cNvPicPr>
                  </pic:nvPicPr>
                  <pic:blipFill>
                    <a:blip r:embed="rId43"/>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Stratified abundance of cnidarians and euphausiids in Mid-Atlantic Bight.</w:t>
      </w:r>
    </w:p>
    <w:p>
      <w:pPr>
        <w:pStyle w:val="Heading4"/>
      </w:pPr>
      <w:bookmarkStart w:id="44" w:name="abundance-anomaly"/>
      <w:r>
        <w:t xml:space="preserve">Abundance anomaly</w:t>
      </w:r>
      <w:bookmarkEnd w:id="44"/>
    </w:p>
    <w:p>
      <w:pPr>
        <w:pStyle w:val="CaptionedFigure"/>
      </w:pPr>
      <w:r>
        <w:drawing>
          <wp:inline>
            <wp:extent cx="5334000" cy="4267200"/>
            <wp:effectExtent b="0" l="0" r="0" t="0"/>
            <wp:docPr descr="Large (red) and small-bodied (blue) copepod zooplankton abundance in New England." title="" id="1" name="Picture"/>
            <a:graphic>
              <a:graphicData uri="http://schemas.openxmlformats.org/drawingml/2006/picture">
                <pic:pic>
                  <pic:nvPicPr>
                    <pic:cNvPr descr="LTL_NE_files/figure-docx/zoo-abund-1.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Large (red) and small-bodied (blue) copepod zooplankton abundance in New England.</w:t>
      </w:r>
    </w:p>
    <w:p>
      <w:pPr>
        <w:pStyle w:val="Heading4"/>
      </w:pPr>
      <w:bookmarkStart w:id="46" w:name="calanus-stage"/>
      <w:r>
        <w:t xml:space="preserve">Calanus Stage</w:t>
      </w:r>
      <w:bookmarkEnd w:id="46"/>
    </w:p>
    <w:p>
      <w:pPr>
        <w:pStyle w:val="FirstParagraph"/>
      </w:pPr>
      <w:r>
        <w:drawing>
          <wp:inline>
            <wp:extent cx="5334000" cy="4267200"/>
            <wp:effectExtent b="0" l="0" r="0" t="0"/>
            <wp:docPr descr="" title="" id="1" name="Picture"/>
            <a:graphic>
              <a:graphicData uri="http://schemas.openxmlformats.org/drawingml/2006/picture">
                <pic:pic>
                  <pic:nvPicPr>
                    <pic:cNvPr descr="LTL_NE_files/figure-docx/gom-calanus-stage-1.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LTL_NE_files/figure-docx/gom-calanus-stage-2.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LTL_NE_files/figure-docx/gb-calanus-stage-1.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LTL_NE_files/figure-docx/gb-calanus-stage-2.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4"/>
      </w:pPr>
      <w:bookmarkStart w:id="51" w:name="zooplankton-diversity"/>
      <w:r>
        <w:t xml:space="preserve">Zooplankton Diversity</w:t>
      </w:r>
      <w:bookmarkEnd w:id="51"/>
    </w:p>
    <w:p>
      <w:pPr>
        <w:pStyle w:val="FirstParagraph"/>
      </w:pPr>
      <w:r>
        <w:drawing>
          <wp:inline>
            <wp:extent cx="5334000" cy="4267200"/>
            <wp:effectExtent b="0" l="0" r="0" t="0"/>
            <wp:docPr descr="Zooplankton diversity in Georges Bank and Gulf of Maine." title="" id="1" name="Picture"/>
            <a:graphic>
              <a:graphicData uri="http://schemas.openxmlformats.org/drawingml/2006/picture">
                <pic:pic>
                  <pic:nvPicPr>
                    <pic:cNvPr descr="LTL_NE_files/figure-docx/zoo-diversity-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Zooplankton diversity in Georges Bank and Gulf of Maine." title="" id="1" name="Picture"/>
            <a:graphic>
              <a:graphicData uri="http://schemas.openxmlformats.org/drawingml/2006/picture">
                <pic:pic>
                  <pic:nvPicPr>
                    <pic:cNvPr descr="LTL_NE_files/figure-docx/zoo-diversity-2.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54" w:name="marine-heat-wave"/>
      <w:r>
        <w:t xml:space="preserve">Marine Heat Wave</w:t>
      </w:r>
      <w:bookmarkEnd w:id="54"/>
    </w:p>
    <w:p>
      <w:pPr>
        <w:pStyle w:val="FirstParagraph"/>
      </w:pPr>
      <w:hyperlink r:id="rId55">
        <w:r>
          <w:rPr>
            <w:rStyle w:val="Hyperlink"/>
          </w:rPr>
          <w:t xml:space="preserve">notes here</w:t>
        </w:r>
      </w:hyperlink>
    </w:p>
    <w:p>
      <w:pPr>
        <w:pStyle w:val="Heading4"/>
      </w:pPr>
      <w:bookmarkStart w:id="56" w:name="monthly-time-series"/>
      <w:r>
        <w:t xml:space="preserve">Monthly time series</w:t>
      </w:r>
      <w:bookmarkEnd w:id="56"/>
    </w:p>
    <w:p>
      <w:pPr>
        <w:pStyle w:val="CaptionedFigure"/>
      </w:pPr>
      <w:r>
        <w:drawing>
          <wp:inline>
            <wp:extent cx="5334000" cy="4267200"/>
            <wp:effectExtent b="0" l="0" r="0" t="0"/>
            <wp:docPr descr="Georges Bank" title="" id="1" name="Picture"/>
            <a:graphic>
              <a:graphicData uri="http://schemas.openxmlformats.org/drawingml/2006/picture">
                <pic:pic>
                  <pic:nvPicPr>
                    <pic:cNvPr descr="LTL_NE_files/figure-docx/heatwave-year-gb-1.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Georges Bank</w:t>
      </w:r>
    </w:p>
    <w:p>
      <w:pPr>
        <w:pStyle w:val="CaptionedFigure"/>
      </w:pPr>
      <w:r>
        <w:drawing>
          <wp:inline>
            <wp:extent cx="5334000" cy="4267200"/>
            <wp:effectExtent b="0" l="0" r="0" t="0"/>
            <wp:docPr descr="Gulf of Maine" title="" id="1" name="Picture"/>
            <a:graphic>
              <a:graphicData uri="http://schemas.openxmlformats.org/drawingml/2006/picture">
                <pic:pic>
                  <pic:nvPicPr>
                    <pic:cNvPr descr="LTL_NE_files/figure-docx/heatwave-year-gom-1.png" id="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Gulf of Maine</w:t>
      </w:r>
    </w:p>
    <w:p>
      <w:pPr>
        <w:pStyle w:val="Heading4"/>
      </w:pPr>
      <w:bookmarkStart w:id="59" w:name="yearly-timeseries"/>
      <w:r>
        <w:t xml:space="preserve">Yearly timeseries</w:t>
      </w:r>
      <w:bookmarkEnd w:id="59"/>
    </w:p>
    <w:p>
      <w:pPr>
        <w:pStyle w:val="CaptionedFigure"/>
      </w:pPr>
      <w:r>
        <w:drawing>
          <wp:inline>
            <wp:extent cx="5334000" cy="4267200"/>
            <wp:effectExtent b="0" l="0" r="0" t="0"/>
            <wp:docPr descr="Marine heatwave cumulative intesity (left) and maximum intensity (right) in the Georges Bank and Gulf of Maine ." title="" id="1" name="Picture"/>
            <a:graphic>
              <a:graphicData uri="http://schemas.openxmlformats.org/drawingml/2006/picture">
                <pic:pic>
                  <pic:nvPicPr>
                    <pic:cNvPr descr="LTL_NE_files/figure-docx/heatwave-1.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Marine heatwave cumulative intesity (left) and maximum intensity (right) in the Georges Bank and Gulf of Maine .</w:t>
      </w:r>
    </w:p>
    <w:p>
      <w:pPr>
        <w:pStyle w:val="Heading4"/>
      </w:pPr>
      <w:bookmarkStart w:id="61" w:name="maps"/>
      <w:r>
        <w:t xml:space="preserve">Maps</w:t>
      </w:r>
      <w:bookmarkEnd w:id="61"/>
    </w:p>
    <w:p>
      <w:pPr>
        <w:pStyle w:val="CaptionedFigure"/>
      </w:pPr>
      <w:r>
        <w:drawing>
          <wp:inline>
            <wp:extent cx="5334000" cy="4267200"/>
            <wp:effectExtent b="0" l="0" r="0" t="0"/>
            <wp:docPr descr="Maximum intensity heatwave anomaly in Georges Bank occuring on August 14, 2020." title="" id="1" name="Picture"/>
            <a:graphic>
              <a:graphicData uri="http://schemas.openxmlformats.org/drawingml/2006/picture">
                <pic:pic>
                  <pic:nvPicPr>
                    <pic:cNvPr descr="LTL_NE_files/figure-docx/heatwave-anom-gridded-gb-1.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Maximum intensity heatwave anomaly in Georges Bank occuring on August 14, 2020.</w:t>
      </w:r>
    </w:p>
    <w:p>
      <w:pPr>
        <w:pStyle w:val="CaptionedFigure"/>
      </w:pPr>
      <w:r>
        <w:drawing>
          <wp:inline>
            <wp:extent cx="5334000" cy="4267200"/>
            <wp:effectExtent b="0" l="0" r="0" t="0"/>
            <wp:docPr descr="Maximum intensity heatwave anomaly in Gulf of Maine occuring on August 2, 2020." title="" id="1" name="Picture"/>
            <a:graphic>
              <a:graphicData uri="http://schemas.openxmlformats.org/drawingml/2006/picture">
                <pic:pic>
                  <pic:nvPicPr>
                    <pic:cNvPr descr="LTL_NE_files/figure-docx/heatwave-anom-gridded-gom-1.png" id="0"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Maximum intensity heatwave anomaly in Gulf of Maine occuring on August 2, 2020.</w:t>
      </w:r>
    </w:p>
    <w:p>
      <w:pPr>
        <w:pStyle w:val="Heading3"/>
      </w:pPr>
      <w:bookmarkStart w:id="64" w:name="habitat-vulnerability"/>
      <w:r>
        <w:t xml:space="preserve">Habitat Vulnerability</w:t>
      </w:r>
      <w:bookmarkEnd w:id="64"/>
    </w:p>
    <w:p>
      <w:pPr>
        <w:pStyle w:val="FirstParagraph"/>
      </w:pPr>
      <w:hyperlink r:id="rId65">
        <w:r>
          <w:rPr>
            <w:rStyle w:val="Hyperlink"/>
          </w:rPr>
          <w:t xml:space="preserve">Table to be described in SOE</w:t>
        </w:r>
      </w:hyperlink>
      <w:r>
        <w:t xml:space="preserv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32" Target="media/rId32.png" /><Relationship Type="http://schemas.openxmlformats.org/officeDocument/2006/relationships/image" Id="rId24" Target="media/rId24.png" /><Relationship Type="http://schemas.openxmlformats.org/officeDocument/2006/relationships/image" Id="rId23" Target="media/rId23.png" /><Relationship Type="http://schemas.openxmlformats.org/officeDocument/2006/relationships/image" Id="rId29" Target="media/rId29.png" /><Relationship Type="http://schemas.openxmlformats.org/officeDocument/2006/relationships/image" Id="rId40" Target="media/rId40.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5" Target="media/rId45.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43" Target="media/rId43.png" /><Relationship Type="http://schemas.openxmlformats.org/officeDocument/2006/relationships/hyperlink" Id="rId55" Target="https://docs.google.com/document/u/1/d/1ik6aAXY85DEgLmz4BaBwxtdEPq6e9xXo/edit?usp=drive_web&amp;ouid=111390006230717850267&amp;rtpof=true" TargetMode="External" /><Relationship Type="http://schemas.openxmlformats.org/officeDocument/2006/relationships/hyperlink" Id="rId65" Target="https://noaa-edab.github.io/ecodata/Hab_table" TargetMode="External" /></Relationships>
</file>

<file path=word/_rels/footnotes.xml.rels><?xml version="1.0" encoding="UTF-8"?>
<Relationships xmlns="http://schemas.openxmlformats.org/package/2006/relationships"><Relationship Type="http://schemas.openxmlformats.org/officeDocument/2006/relationships/hyperlink" Id="rId55" Target="https://docs.google.com/document/u/1/d/1ik6aAXY85DEgLmz4BaBwxtdEPq6e9xXo/edit?usp=drive_web&amp;ouid=111390006230717850267&amp;rtpof=true" TargetMode="External" /><Relationship Type="http://schemas.openxmlformats.org/officeDocument/2006/relationships/hyperlink" Id="rId65" Target="https://noaa-edab.github.io/ecodata/Hab_tabl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and LTL Indicators GB and GOM</dc:title>
  <dc:creator/>
  <cp:keywords/>
  <dcterms:created xsi:type="dcterms:W3CDTF">2021-01-19T15:22:21Z</dcterms:created>
  <dcterms:modified xsi:type="dcterms:W3CDTF">2021-01-19T15:22:21Z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