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8.jpg" ContentType="image/jpeg"/>
  <Override PartName="/word/media/rId24.png" ContentType="image/png"/>
  <Override PartName="/word/media/rId23.png" ContentType="image/png"/>
  <Override PartName="/word/media/rId44.png" ContentType="image/png"/>
  <Override PartName="/word/media/rId28.png" ContentType="image/png"/>
  <Override PartName="/word/media/rId30.png" ContentType="image/png"/>
  <Override PartName="/word/media/rId26.png" ContentType="image/png"/>
  <Override PartName="/word/media/rId32.png" ContentType="image/png"/>
  <Override PartName="/word/media/rId33.png" ContentType="image/png"/>
  <Override PartName="/word/media/rId35.png" ContentType="image/png"/>
  <Override PartName="/word/media/rId36.png" ContentType="image/png"/>
  <Override PartName="/word/media/rId46.png" ContentType="image/png"/>
  <Override PartName="/word/media/rId49.png" ContentType="image/png"/>
  <Override PartName="/word/media/rId47.png" ContentType="image/png"/>
  <Override PartName="/word/media/rId51.png" ContentType="image/png"/>
  <Override PartName="/word/media/rId41.png" ContentType="image/png"/>
  <Override PartName="/word/media/rId42.png" ContentType="image/png"/>
  <Override PartName="/word/media/rId54.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Macrofauna</w:t>
      </w:r>
      <w:r>
        <w:t xml:space="preserve"> </w:t>
      </w:r>
      <w:r>
        <w:t xml:space="preserve">GB</w:t>
      </w:r>
      <w:r>
        <w:t xml:space="preserve"> </w:t>
      </w:r>
      <w:r>
        <w:t xml:space="preserve">and</w:t>
      </w:r>
      <w:r>
        <w:t xml:space="preserve"> </w:t>
      </w:r>
      <w:r>
        <w:t xml:space="preserve">GOM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Trend lines are shown when slope is significantly different from 0 at the p &lt; 0.05 level. An orange line signifies an overall positive trend, and purple signifies a negative trend. To minimize bias introduced by small sample size, no trend is fit when N &lt; 30. Dashed lines represent mean values of time series unless the indicator is an anomaly, in which case the dashed line is equal to 0. Shaded regions indicate the past ten years. If there are no new data for 2018, the shaded region will still cover this time period.</w:t>
      </w:r>
    </w:p>
    <w:p>
      <w:pPr>
        <w:pStyle w:val="Heading2"/>
      </w:pPr>
      <w:bookmarkStart w:id="20" w:name="new-england"/>
      <w:r>
        <w:t xml:space="preserve">New England</w:t>
      </w:r>
      <w:bookmarkEnd w:id="20"/>
    </w:p>
    <w:p>
      <w:pPr>
        <w:pStyle w:val="Heading3"/>
      </w:pPr>
      <w:bookmarkStart w:id="21" w:name="surveys"/>
      <w:r>
        <w:t xml:space="preserve">Surveys</w:t>
      </w:r>
      <w:bookmarkEnd w:id="21"/>
    </w:p>
    <w:p>
      <w:pPr>
        <w:pStyle w:val="FirstParagraph"/>
      </w:pPr>
      <w:r>
        <w:t xml:space="preserve">ONLY ME/NH NEW DATA</w:t>
      </w:r>
    </w:p>
    <w:p>
      <w:pPr>
        <w:pStyle w:val="Heading4"/>
      </w:pPr>
      <w:bookmarkStart w:id="22" w:name="nefsc-bts"/>
      <w:r>
        <w:t xml:space="preserve">NEFSC BTS</w:t>
      </w:r>
      <w:bookmarkEnd w:id="22"/>
    </w:p>
    <w:p>
      <w:pPr>
        <w:pStyle w:val="FirstParagraph"/>
      </w:pPr>
      <w:r>
        <w:t xml:space="preserve">NO NEW DATA - NO SURVEY IN 2020</w:t>
      </w:r>
    </w:p>
    <w:p>
      <w:pPr>
        <w:pStyle w:val="CaptionedFigure"/>
      </w:pPr>
      <w:r>
        <w:drawing>
          <wp:inline>
            <wp:extent cx="5334000" cy="4267200"/>
            <wp:effectExtent b="0" l="0" r="0" t="0"/>
            <wp:docPr descr="Spring (left) and fall (right) NEFSC surveyed biomass in Georges Bank." title="" id="1" name="Picture"/>
            <a:graphic>
              <a:graphicData uri="http://schemas.openxmlformats.org/drawingml/2006/picture">
                <pic:pic>
                  <pic:nvPicPr>
                    <pic:cNvPr descr="macrofauna_NE_files/figure-docx/aggregate-biomas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Spring (left) and fall (right) NEFSC surveyed biomass in Georges Bank.</w:t>
      </w:r>
    </w:p>
    <w:p>
      <w:pPr>
        <w:pStyle w:val="CaptionedFigure"/>
      </w:pPr>
      <w:r>
        <w:drawing>
          <wp:inline>
            <wp:extent cx="5334000" cy="4267200"/>
            <wp:effectExtent b="0" l="0" r="0" t="0"/>
            <wp:docPr descr="Spring (left) and fall (right) NEFSC surveyed biomass in the Gulf of Maine." title="" id="1" name="Picture"/>
            <a:graphic>
              <a:graphicData uri="http://schemas.openxmlformats.org/drawingml/2006/picture">
                <pic:pic>
                  <pic:nvPicPr>
                    <pic:cNvPr descr="macrofauna_NE_files/figure-docx/agg-bio-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Spring (left) and fall (right) NEFSC surveyed biomass in the Gulf of Maine.</w:t>
      </w:r>
    </w:p>
    <w:p>
      <w:pPr>
        <w:pStyle w:val="Heading4"/>
      </w:pPr>
      <w:bookmarkStart w:id="25" w:name="nefmc-benthivores-in-mab"/>
      <w:r>
        <w:t xml:space="preserve">NEFMC Benthivores in MAB</w:t>
      </w:r>
      <w:bookmarkEnd w:id="25"/>
    </w:p>
    <w:p>
      <w:pPr>
        <w:pStyle w:val="FirstParagraph"/>
      </w:pPr>
      <w:r>
        <w:t xml:space="preserve">NO NEW DATA - NO SURVEY IN 2020</w:t>
      </w:r>
    </w:p>
    <w:p>
      <w:pPr>
        <w:pStyle w:val="BodyText"/>
      </w:pPr>
      <w:r>
        <w:drawing>
          <wp:inline>
            <wp:extent cx="5334000" cy="4267200"/>
            <wp:effectExtent b="0" l="0" r="0" t="0"/>
            <wp:docPr descr="" title="" id="1" name="Picture"/>
            <a:graphic>
              <a:graphicData uri="http://schemas.openxmlformats.org/drawingml/2006/picture">
                <pic:pic>
                  <pic:nvPicPr>
                    <pic:cNvPr descr="macrofauna_NE_files/figure-docx/nefsc-survey-disaggregated-NEFMC-ssp-in-mab-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7" w:name="ma-inshore-survey"/>
      <w:r>
        <w:t xml:space="preserve">MA inshore survey</w:t>
      </w:r>
      <w:bookmarkEnd w:id="27"/>
    </w:p>
    <w:p>
      <w:pPr>
        <w:pStyle w:val="FirstParagraph"/>
      </w:pPr>
      <w:r>
        <w:t xml:space="preserve">NO NEW DATA - NO SURVEY IN 2020</w:t>
      </w:r>
    </w:p>
    <w:p>
      <w:pPr>
        <w:pStyle w:val="CaptionedFigure"/>
      </w:pPr>
      <w:r>
        <w:drawing>
          <wp:inline>
            <wp:extent cx="5334000" cy="4267200"/>
            <wp:effectExtent b="0" l="0" r="0" t="0"/>
            <wp:docPr descr="Spring (left) and fall (right) surveyed biomass from the Massachusetts state inshore bottom trawl survey." title="" id="1" name="Picture"/>
            <a:graphic>
              <a:graphicData uri="http://schemas.openxmlformats.org/drawingml/2006/picture">
                <pic:pic>
                  <pic:nvPicPr>
                    <pic:cNvPr descr="macrofauna_NE_files/figure-docx/ma-inshore-survey-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Spring (left) and fall (right) surveyed biomass from the Massachusetts state inshore bottom trawl survey.</w:t>
      </w:r>
    </w:p>
    <w:p>
      <w:pPr>
        <w:pStyle w:val="Heading4"/>
      </w:pPr>
      <w:bookmarkStart w:id="29" w:name="menh-inshore-survey"/>
      <w:r>
        <w:t xml:space="preserve">ME/NH inshore survey</w:t>
      </w:r>
      <w:bookmarkEnd w:id="29"/>
    </w:p>
    <w:p>
      <w:pPr>
        <w:pStyle w:val="CaptionedFigure"/>
      </w:pPr>
      <w:r>
        <w:drawing>
          <wp:inline>
            <wp:extent cx="5334000" cy="4267200"/>
            <wp:effectExtent b="0" l="0" r="0" t="0"/>
            <wp:docPr descr="Spring (left) and fall (right) surveyed biomass from the ME/NH state inshore bottom trawl survey." title="" id="1" name="Picture"/>
            <a:graphic>
              <a:graphicData uri="http://schemas.openxmlformats.org/drawingml/2006/picture">
                <pic:pic>
                  <pic:nvPicPr>
                    <pic:cNvPr descr="macrofauna_NE_files/figure-docx/ne-inshore-survey-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Spring (left) and fall (right) surveyed biomass from the ME/NH state inshore bottom trawl survey.</w:t>
      </w:r>
    </w:p>
    <w:p>
      <w:pPr>
        <w:pStyle w:val="Heading4"/>
      </w:pPr>
      <w:bookmarkStart w:id="31" w:name="proportion-managed-species-in-nefsc-bts"/>
      <w:r>
        <w:t xml:space="preserve">Proportion managed species in NEFSC BTS</w:t>
      </w:r>
      <w:bookmarkEnd w:id="31"/>
    </w:p>
    <w:p>
      <w:pPr>
        <w:pStyle w:val="FirstParagraph"/>
      </w:pPr>
      <w:r>
        <w:t xml:space="preserve">NO NEW DATA - NO SURVEY IN 2020</w:t>
      </w:r>
    </w:p>
    <w:p>
      <w:pPr>
        <w:pStyle w:val="BodyText"/>
      </w:pPr>
      <w:r>
        <w:drawing>
          <wp:inline>
            <wp:extent cx="5334000" cy="4633912"/>
            <wp:effectExtent b="0" l="0" r="0" t="0"/>
            <wp:docPr descr="" title="" id="1" name="Picture"/>
            <a:graphic>
              <a:graphicData uri="http://schemas.openxmlformats.org/drawingml/2006/picture">
                <pic:pic>
                  <pic:nvPicPr>
                    <pic:cNvPr descr="macrofauna_NE_files/figure-docx/nefsc-survey-disaggregated-managed-spp-bts-gb-1.png" id="0" name="Picture"/>
                    <pic:cNvPicPr>
                      <a:picLocks noChangeArrowheads="1" noChangeAspect="1"/>
                    </pic:cNvPicPr>
                  </pic:nvPicPr>
                  <pic:blipFill>
                    <a:blip r:embed="rId32"/>
                    <a:stretch>
                      <a:fillRect/>
                    </a:stretch>
                  </pic:blipFill>
                  <pic:spPr bwMode="auto">
                    <a:xfrm>
                      <a:off x="0" y="0"/>
                      <a:ext cx="5334000" cy="4633912"/>
                    </a:xfrm>
                    <a:prstGeom prst="rect">
                      <a:avLst/>
                    </a:prstGeom>
                    <a:noFill/>
                    <a:ln w="9525">
                      <a:noFill/>
                      <a:headEnd/>
                      <a:tailEnd/>
                    </a:ln>
                  </pic:spPr>
                </pic:pic>
              </a:graphicData>
            </a:graphic>
          </wp:inline>
        </w:drawing>
      </w:r>
    </w:p>
    <w:p>
      <w:pPr>
        <w:pStyle w:val="BodyText"/>
      </w:pPr>
      <w:r>
        <w:drawing>
          <wp:inline>
            <wp:extent cx="5334000" cy="4633912"/>
            <wp:effectExtent b="0" l="0" r="0" t="0"/>
            <wp:docPr descr="" title="" id="1" name="Picture"/>
            <a:graphic>
              <a:graphicData uri="http://schemas.openxmlformats.org/drawingml/2006/picture">
                <pic:pic>
                  <pic:nvPicPr>
                    <pic:cNvPr descr="macrofauna_NE_files/figure-docx/nefsc-survey-disaggregated-managed-spp-bts-gom-1.png" id="0" name="Picture"/>
                    <pic:cNvPicPr>
                      <a:picLocks noChangeArrowheads="1" noChangeAspect="1"/>
                    </pic:cNvPicPr>
                  </pic:nvPicPr>
                  <pic:blipFill>
                    <a:blip r:embed="rId33"/>
                    <a:stretch>
                      <a:fillRect/>
                    </a:stretch>
                  </pic:blipFill>
                  <pic:spPr bwMode="auto">
                    <a:xfrm>
                      <a:off x="0" y="0"/>
                      <a:ext cx="5334000" cy="4633912"/>
                    </a:xfrm>
                    <a:prstGeom prst="rect">
                      <a:avLst/>
                    </a:prstGeom>
                    <a:noFill/>
                    <a:ln w="9525">
                      <a:noFill/>
                      <a:headEnd/>
                      <a:tailEnd/>
                    </a:ln>
                  </pic:spPr>
                </pic:pic>
              </a:graphicData>
            </a:graphic>
          </wp:inline>
        </w:drawing>
      </w:r>
    </w:p>
    <w:p>
      <w:pPr>
        <w:pStyle w:val="Heading3"/>
      </w:pPr>
      <w:bookmarkStart w:id="34" w:name="productivity-anomaly"/>
      <w:r>
        <w:t xml:space="preserve">Productivity anomaly</w:t>
      </w:r>
      <w:bookmarkEnd w:id="34"/>
    </w:p>
    <w:p>
      <w:pPr>
        <w:pStyle w:val="FirstParagraph"/>
      </w:pPr>
      <w:r>
        <w:t xml:space="preserve">NO NEW DATA - NO SURVEY IN 2020</w:t>
      </w:r>
    </w:p>
    <w:p>
      <w:pPr>
        <w:pStyle w:val="CaptionedFigure"/>
      </w:pPr>
      <w:r>
        <w:drawing>
          <wp:inline>
            <wp:extent cx="5334000" cy="4267200"/>
            <wp:effectExtent b="0" l="0" r="0" t="0"/>
            <wp:docPr descr="Small fish per large fish biomass anomaly in Georges Bank." title="" id="1" name="Picture"/>
            <a:graphic>
              <a:graphicData uri="http://schemas.openxmlformats.org/drawingml/2006/picture">
                <pic:pic>
                  <pic:nvPicPr>
                    <pic:cNvPr descr="macrofauna_NE_files/figure-docx/productivity-anomaly-gb-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Small fish per large fish biomass anomaly in Georges Bank.</w:t>
      </w:r>
    </w:p>
    <w:p>
      <w:pPr>
        <w:pStyle w:val="CaptionedFigure"/>
      </w:pPr>
      <w:r>
        <w:drawing>
          <wp:inline>
            <wp:extent cx="5334000" cy="4267200"/>
            <wp:effectExtent b="0" l="0" r="0" t="0"/>
            <wp:docPr descr="Small fish per large fish biomass anomaly in the Gulf of Maine." title="" id="1" name="Picture"/>
            <a:graphic>
              <a:graphicData uri="http://schemas.openxmlformats.org/drawingml/2006/picture">
                <pic:pic>
                  <pic:nvPicPr>
                    <pic:cNvPr descr="macrofauna_NE_files/figure-docx/productivity-anomaly-gom-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Small fish per large fish biomass anomaly in the Gulf of Maine.</w:t>
      </w:r>
    </w:p>
    <w:p>
      <w:pPr>
        <w:pStyle w:val="Heading3"/>
      </w:pPr>
      <w:bookmarkStart w:id="37" w:name="condition-factor"/>
      <w:r>
        <w:t xml:space="preserve">Condition factor</w:t>
      </w:r>
      <w:bookmarkEnd w:id="37"/>
    </w:p>
    <w:p>
      <w:pPr>
        <w:pStyle w:val="FirstParagraph"/>
      </w:pPr>
      <w:r>
        <w:drawing>
          <wp:inline>
            <wp:extent cx="5334000" cy="2500312"/>
            <wp:effectExtent b="0" l="0" r="0" t="0"/>
            <wp:docPr descr="Condition factor for species sampled in the Gulf of Maine." title="" id="1" name="Picture"/>
            <a:graphic>
              <a:graphicData uri="http://schemas.openxmlformats.org/drawingml/2006/picture">
                <pic:pic>
                  <pic:nvPicPr>
                    <pic:cNvPr descr="/Users/bbest/github/ecodata_bbest/docs/images/GOMcondition_2020_viridis_final.jpg" id="0" name="Picture"/>
                    <pic:cNvPicPr>
                      <a:picLocks noChangeArrowheads="1" noChangeAspect="1"/>
                    </pic:cNvPicPr>
                  </pic:nvPicPr>
                  <pic:blipFill>
                    <a:blip r:embed="rId38"/>
                    <a:stretch>
                      <a:fillRect/>
                    </a:stretch>
                  </pic:blipFill>
                  <pic:spPr bwMode="auto">
                    <a:xfrm>
                      <a:off x="0" y="0"/>
                      <a:ext cx="5334000" cy="2500312"/>
                    </a:xfrm>
                    <a:prstGeom prst="rect">
                      <a:avLst/>
                    </a:prstGeom>
                    <a:noFill/>
                    <a:ln w="9525">
                      <a:noFill/>
                      <a:headEnd/>
                      <a:tailEnd/>
                    </a:ln>
                  </pic:spPr>
                </pic:pic>
              </a:graphicData>
            </a:graphic>
          </wp:inline>
        </w:drawing>
      </w:r>
      <w:r>
        <w:drawing>
          <wp:inline>
            <wp:extent cx="5334000" cy="2500312"/>
            <wp:effectExtent b="0" l="0" r="0" t="0"/>
            <wp:docPr descr="Condition factor for species sampled in the Gulf of Maine." title="" id="1" name="Picture"/>
            <a:graphic>
              <a:graphicData uri="http://schemas.openxmlformats.org/drawingml/2006/picture">
                <pic:pic>
                  <pic:nvPicPr>
                    <pic:cNvPr descr="/Users/bbest/github/ecodata_bbest/docs/images/GBcondition_2020_viridis_final.jpg" id="0" name="Picture"/>
                    <pic:cNvPicPr>
                      <a:picLocks noChangeArrowheads="1" noChangeAspect="1"/>
                    </pic:cNvPicPr>
                  </pic:nvPicPr>
                  <pic:blipFill>
                    <a:blip r:embed="rId39"/>
                    <a:stretch>
                      <a:fillRect/>
                    </a:stretch>
                  </pic:blipFill>
                  <pic:spPr bwMode="auto">
                    <a:xfrm>
                      <a:off x="0" y="0"/>
                      <a:ext cx="5334000" cy="2500312"/>
                    </a:xfrm>
                    <a:prstGeom prst="rect">
                      <a:avLst/>
                    </a:prstGeom>
                    <a:noFill/>
                    <a:ln w="9525">
                      <a:noFill/>
                      <a:headEnd/>
                      <a:tailEnd/>
                    </a:ln>
                  </pic:spPr>
                </pic:pic>
              </a:graphicData>
            </a:graphic>
          </wp:inline>
        </w:drawing>
      </w:r>
    </w:p>
    <w:p>
      <w:pPr>
        <w:pStyle w:val="Heading3"/>
      </w:pPr>
      <w:bookmarkStart w:id="40" w:name="stomach-fullness"/>
      <w:r>
        <w:t xml:space="preserve">Stomach Fullness</w:t>
      </w:r>
      <w:bookmarkEnd w:id="40"/>
    </w:p>
    <w:p>
      <w:pPr>
        <w:pStyle w:val="FirstParagraph"/>
      </w:pPr>
      <w:r>
        <w:t xml:space="preserve">NO NEW DATA - NO SURVEY IN 2020</w:t>
      </w:r>
    </w:p>
    <w:p>
      <w:pPr>
        <w:pStyle w:val="BodyText"/>
      </w:pPr>
      <w:r>
        <w:drawing>
          <wp:inline>
            <wp:extent cx="5334000" cy="4267200"/>
            <wp:effectExtent b="0" l="0" r="0" t="0"/>
            <wp:docPr descr="Stomach Fullness Anomaly in New England." title="" id="1" name="Picture"/>
            <a:graphic>
              <a:graphicData uri="http://schemas.openxmlformats.org/drawingml/2006/picture">
                <pic:pic>
                  <pic:nvPicPr>
                    <pic:cNvPr descr="macrofauna_NE_files/figure-docx/stom-fullnes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Stomach Fullness Anomaly in New England." title="" id="1" name="Picture"/>
            <a:graphic>
              <a:graphicData uri="http://schemas.openxmlformats.org/drawingml/2006/picture">
                <pic:pic>
                  <pic:nvPicPr>
                    <pic:cNvPr descr="macrofauna_NE_files/figure-docx/stom-fullness-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3" w:name="larval-diversity"/>
      <w:r>
        <w:t xml:space="preserve">Larval diversity</w:t>
      </w:r>
      <w:bookmarkEnd w:id="43"/>
    </w:p>
    <w:p>
      <w:pPr>
        <w:pStyle w:val="FirstParagraph"/>
      </w:pPr>
      <w:r>
        <w:drawing>
          <wp:inline>
            <wp:extent cx="5334000" cy="4267200"/>
            <wp:effectExtent b="0" l="0" r="0" t="0"/>
            <wp:docPr descr="" title="" id="1" name="Picture"/>
            <a:graphic>
              <a:graphicData uri="http://schemas.openxmlformats.org/drawingml/2006/picture">
                <pic:pic>
                  <pic:nvPicPr>
                    <pic:cNvPr descr="macrofauna_NE_files/figure-docx/ichthyo-diversity-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gom-common-tern"/>
      <w:r>
        <w:t xml:space="preserve">GOM Common Tern</w:t>
      </w:r>
      <w:bookmarkEnd w:id="45"/>
    </w:p>
    <w:p>
      <w:pPr>
        <w:pStyle w:val="FirstParagraph"/>
      </w:pPr>
      <w:r>
        <w:t xml:space="preserve">2020 was a challenging year for terns raising chicks - although diet composition was pretty similar to the long term average the quantity of food readily available was apparently less than normal, particularly around the time of chick hatching (confounded a little by cold, wet weather) and when chicks would normally be close to fledging (mid-late July). Our anecdotal observations of feeding rates were low at both those times.</w:t>
      </w:r>
    </w:p>
    <w:p>
      <w:pPr>
        <w:pStyle w:val="CaptionedFigure"/>
      </w:pPr>
      <w:r>
        <w:drawing>
          <wp:inline>
            <wp:extent cx="5334000" cy="2933700"/>
            <wp:effectExtent b="0" l="0" r="0" t="0"/>
            <wp:docPr descr="Shannon diversity of common tern diets observed at nesting sites in Gulf of Maine. Diversity of common tern diets has been predominantly above the long-term mean since 2006." title="" id="1" name="Picture"/>
            <a:graphic>
              <a:graphicData uri="http://schemas.openxmlformats.org/drawingml/2006/picture">
                <pic:pic>
                  <pic:nvPicPr>
                    <pic:cNvPr descr="macrofauna_NE_files/figure-docx/seabird-ne-diversity-1.png" id="0" name="Picture"/>
                    <pic:cNvPicPr>
                      <a:picLocks noChangeArrowheads="1" noChangeAspect="1"/>
                    </pic:cNvPicPr>
                  </pic:nvPicPr>
                  <pic:blipFill>
                    <a:blip r:embed="rId46"/>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r>
        <w:t xml:space="preserve">Shannon diversity of common tern diets observed at nesting sites in Gulf of Maine. Diversity of common tern diets has been predominantly above the long-term mean since 2006.</w:t>
      </w:r>
    </w:p>
    <w:p>
      <w:pPr>
        <w:pStyle w:val="CaptionedFigure"/>
      </w:pPr>
      <w:r>
        <w:drawing>
          <wp:inline>
            <wp:extent cx="5334000" cy="4267200"/>
            <wp:effectExtent b="0" l="0" r="0" t="0"/>
            <wp:docPr descr="Prey frequencies in the diets of common tern observed at seven different islands in Gulf of Maine." title="" id="1" name="Picture"/>
            <a:graphic>
              <a:graphicData uri="http://schemas.openxmlformats.org/drawingml/2006/picture">
                <pic:pic>
                  <pic:nvPicPr>
                    <pic:cNvPr descr="macrofauna_NE_files/figure-docx/seabird-ne-prey-freq-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Prey frequencies in the diets of common tern observed at seven different islands in Gulf of Maine.</w:t>
      </w:r>
    </w:p>
    <w:p>
      <w:pPr>
        <w:pStyle w:val="Heading4"/>
      </w:pPr>
      <w:bookmarkStart w:id="48" w:name="common-tern-sampling-sites"/>
      <w:r>
        <w:t xml:space="preserve">Common tern sampling sites</w:t>
      </w:r>
      <w:bookmarkEnd w:id="48"/>
    </w:p>
    <w:p>
      <w:pPr>
        <w:pStyle w:val="CaptionedFigure"/>
      </w:pPr>
      <w:r>
        <w:drawing>
          <wp:inline>
            <wp:extent cx="5334000" cy="4267200"/>
            <wp:effectExtent b="0" l="0" r="0" t="0"/>
            <wp:docPr descr="Locations of the seven sampled common tern nesting sites in Gulf of Maine (EER = Eastern Egg Rock, JI = Jenny Island, MR = Matinicus Rock, OGI = Outer Green Island, PINWR = Pond Island National Wildlife Refuge, SINWR = Seal Island National Wildlife Refuge, STI = Stratton Island)." title="" id="1" name="Picture"/>
            <a:graphic>
              <a:graphicData uri="http://schemas.openxmlformats.org/drawingml/2006/picture">
                <pic:pic>
                  <pic:nvPicPr>
                    <pic:cNvPr descr="macrofauna_NE_files/figure-docx/seabird-ne-map-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Locations of the seven sampled common tern nesting sites in Gulf of Maine (EER = Eastern Egg Rock, JI = Jenny Island, MR = Matinicus Rock, OGI = Outer Green Island, PINWR = Pond Island National Wildlife Refuge, SINWR = Seal Island National Wildlife Refuge, STI = Stratton Island).</w:t>
      </w:r>
    </w:p>
    <w:p>
      <w:pPr>
        <w:pStyle w:val="Heading4"/>
      </w:pPr>
      <w:bookmarkStart w:id="50" w:name="common-tern-productivity"/>
      <w:r>
        <w:t xml:space="preserve">Common tern productivity</w:t>
      </w:r>
      <w:bookmarkEnd w:id="50"/>
    </w:p>
    <w:p>
      <w:pPr>
        <w:pStyle w:val="CaptionedFigure"/>
      </w:pPr>
      <w:r>
        <w:drawing>
          <wp:inline>
            <wp:extent cx="5334000" cy="4267200"/>
            <wp:effectExtent b="0" l="0" r="0" t="0"/>
            <wp:docPr descr="Mean common tern productivity at nesting sites in Gulf of Maine. Error bars show +/- 1 SE of the mean." title="" id="1" name="Picture"/>
            <a:graphic>
              <a:graphicData uri="http://schemas.openxmlformats.org/drawingml/2006/picture">
                <pic:pic>
                  <pic:nvPicPr>
                    <pic:cNvPr descr="macrofauna_NE_files/figure-docx/seabird-ne-productivity-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Mean common tern productivity at nesting sites in Gulf of Maine. Error bars show +/- 1 SE of the mean.</w:t>
      </w:r>
    </w:p>
    <w:p>
      <w:pPr>
        <w:pStyle w:val="Heading3"/>
      </w:pPr>
      <w:bookmarkStart w:id="52" w:name="forage-anomaly"/>
      <w:r>
        <w:t xml:space="preserve">Forage Anomaly</w:t>
      </w:r>
      <w:bookmarkEnd w:id="52"/>
    </w:p>
    <w:p>
      <w:pPr>
        <w:pStyle w:val="FirstParagraph"/>
      </w:pPr>
      <w:hyperlink r:id="rId53">
        <w:r>
          <w:rPr>
            <w:rStyle w:val="Hyperlink"/>
          </w:rPr>
          <w:t xml:space="preserve">Taxa include</w:t>
        </w:r>
      </w:hyperlink>
    </w:p>
    <w:p>
      <w:pPr>
        <w:pStyle w:val="BodyText"/>
      </w:pPr>
      <w:r>
        <w:drawing>
          <wp:inline>
            <wp:extent cx="5334000" cy="4267200"/>
            <wp:effectExtent b="0" l="0" r="0" t="0"/>
            <wp:docPr descr="" title="" id="1" name="Picture"/>
            <a:graphic>
              <a:graphicData uri="http://schemas.openxmlformats.org/drawingml/2006/picture">
                <pic:pic>
                  <pic:nvPicPr>
                    <pic:cNvPr descr="macrofauna_NE_files/figure-docx/unnamed-chunk-1-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observed-shark-numbers"/>
      <w:r>
        <w:t xml:space="preserve">Observed Shark Numbers</w:t>
      </w:r>
      <w:bookmarkEnd w:id="55"/>
    </w:p>
    <w:p>
      <w:pPr>
        <w:pStyle w:val="FirstParagraph"/>
      </w:pPr>
      <w:r>
        <w:drawing>
          <wp:inline>
            <wp:extent cx="5334000" cy="4267200"/>
            <wp:effectExtent b="0" l="0" r="0" t="0"/>
            <wp:docPr descr="" title="" id="1" name="Picture"/>
            <a:graphic>
              <a:graphicData uri="http://schemas.openxmlformats.org/drawingml/2006/picture">
                <pic:pic>
                  <pic:nvPicPr>
                    <pic:cNvPr descr="macrofauna_NE_files/figure-docx/unnamed-chunk-2-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hyperlink" Id="rId53" Target="https://docs.google.com/spreadsheets/d/108snlOTy1wzMGmxbYp1qJuKgqYfYM8MD/edit#gid=966266704" TargetMode="External" /></Relationships>
</file>

<file path=word/_rels/footnotes.xml.rels><?xml version="1.0" encoding="UTF-8"?>
<Relationships xmlns="http://schemas.openxmlformats.org/package/2006/relationships"><Relationship Type="http://schemas.openxmlformats.org/officeDocument/2006/relationships/hyperlink" Id="rId53" Target="https://docs.google.com/spreadsheets/d/108snlOTy1wzMGmxbYp1qJuKgqYfYM8MD/edit#gid=9662667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Macrofauna GB and GOM</dc:title>
  <dc:creator/>
  <cp:keywords/>
  <dcterms:created xsi:type="dcterms:W3CDTF">2021-01-19T15:47:58Z</dcterms:created>
  <dcterms:modified xsi:type="dcterms:W3CDTF">2021-01-19T15:47:58Z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