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6.png" ContentType="image/png"/>
  <Override PartName="/word/media/rId22.png" ContentType="image/png"/>
  <Override PartName="/word/media/rId43.png" ContentType="image/png"/>
  <Override PartName="/word/media/rId44.png" ContentType="image/png"/>
  <Override PartName="/word/media/rId40.png" ContentType="image/png"/>
  <Override PartName="/word/media/rId41.png" ContentType="image/png"/>
  <Override PartName="/word/media/rId52.png" ContentType="image/png"/>
  <Override PartName="/word/media/rId54.png" ContentType="image/png"/>
  <Override PartName="/word/media/rId37.png" ContentType="image/png"/>
  <Override PartName="/word/media/rId35.png" ContentType="image/png"/>
  <Override PartName="/word/media/rId24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Black</w:t>
      </w:r>
      <w:r>
        <w:t xml:space="preserve"> </w:t>
      </w:r>
      <w:r>
        <w:t xml:space="preserve">sea</w:t>
      </w:r>
      <w:r>
        <w:t xml:space="preserve"> </w:t>
      </w:r>
      <w:r>
        <w:t xml:space="preserve">bass</w:t>
      </w:r>
      <w:r>
        <w:t xml:space="preserve"> </w:t>
      </w:r>
      <w:r>
        <w:t xml:space="preserve">indicator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Abigail</w:t>
      </w:r>
      <w:r>
        <w:t xml:space="preserve"> </w:t>
      </w:r>
      <w:r>
        <w:t xml:space="preserve">Tyrell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Apr</w:t>
      </w:r>
      <w:r>
        <w:t xml:space="preserve"> </w:t>
      </w:r>
      <w:r>
        <w:t xml:space="preserve">2021</w:t>
      </w:r>
    </w:p>
    <w:bookmarkStart w:id="34" w:name="recruitment"/>
    <w:p>
      <w:pPr>
        <w:pStyle w:val="Heading2"/>
      </w:pPr>
      <w:r>
        <w:t xml:space="preserve">Recruitment</w:t>
      </w:r>
    </w:p>
    <w:bookmarkStart w:id="21" w:name="winter-sst-anomaly"/>
    <w:p>
      <w:pPr>
        <w:pStyle w:val="Heading3"/>
      </w:pPr>
      <w:r>
        <w:t xml:space="preserve">Winter SST anomaly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winter-s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fall-sst-anomaly-prior-year"/>
    <w:p>
      <w:pPr>
        <w:pStyle w:val="Heading3"/>
      </w:pPr>
      <w:r>
        <w:t xml:space="preserve">Fall SST anomaly (prior year)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fall-s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winter-primary-production"/>
    <w:p>
      <w:pPr>
        <w:pStyle w:val="Heading3"/>
      </w:pPr>
      <w:r>
        <w:t xml:space="preserve">Winter primary production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winter-p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fall-primary-production-prior-year"/>
    <w:p>
      <w:pPr>
        <w:pStyle w:val="Heading3"/>
      </w:pPr>
      <w:r>
        <w:t xml:space="preserve">Fall primary production (prior year)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fall-p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2" w:name="cold-pool-index-prior-year"/>
    <w:p>
      <w:pPr>
        <w:pStyle w:val="Heading3"/>
      </w:pPr>
      <w:r>
        <w:t xml:space="preserve">Cold pool index (prior year)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cold-poo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cold-poo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cold-pool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cold-pool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predator-abundance"/>
    <w:p>
      <w:pPr>
        <w:pStyle w:val="Heading3"/>
      </w:pPr>
      <w:r>
        <w:t xml:space="preserve">Predator abundance</w:t>
      </w:r>
    </w:p>
    <w:bookmarkEnd w:id="33"/>
    <w:bookmarkEnd w:id="34"/>
    <w:bookmarkStart w:id="47" w:name="ecosystem"/>
    <w:p>
      <w:pPr>
        <w:pStyle w:val="Heading2"/>
      </w:pPr>
      <w:r>
        <w:t xml:space="preserve">Ecosystem</w:t>
      </w:r>
    </w:p>
    <w:bookmarkStart w:id="39" w:name="sea-surface-temperature"/>
    <w:p>
      <w:pPr>
        <w:pStyle w:val="Heading3"/>
      </w:pPr>
      <w:r>
        <w:t xml:space="preserve">Sea surface temperature</w:t>
      </w:r>
    </w:p>
    <w:bookmarkStart w:id="36" w:name="recruitment-1"/>
    <w:p>
      <w:pPr>
        <w:pStyle w:val="Heading4"/>
      </w:pPr>
      <w:r>
        <w:t xml:space="preserve">Recruitment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sst-re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8" w:name="abundance"/>
    <w:p>
      <w:pPr>
        <w:pStyle w:val="Heading4"/>
      </w:pPr>
      <w:r>
        <w:t xml:space="preserve">Abundance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sst-abu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6" w:name="marine-heatwaves"/>
    <w:p>
      <w:pPr>
        <w:pStyle w:val="Heading3"/>
      </w:pPr>
      <w:r>
        <w:t xml:space="preserve">Marine heatwaves</w:t>
      </w:r>
    </w:p>
    <w:bookmarkStart w:id="42" w:name="recruitment-2"/>
    <w:p>
      <w:pPr>
        <w:pStyle w:val="Heading4"/>
      </w:pPr>
      <w:r>
        <w:t xml:space="preserve">Recruitment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heat-re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heat-rec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5" w:name="abundance-1"/>
    <w:p>
      <w:pPr>
        <w:pStyle w:val="Heading4"/>
      </w:pPr>
      <w:r>
        <w:t xml:space="preserve">Abundance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heat-abu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heat-abu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End w:id="47"/>
    <w:bookmarkStart w:id="58" w:name="management"/>
    <w:p>
      <w:pPr>
        <w:pStyle w:val="Heading2"/>
      </w:pPr>
      <w:r>
        <w:t xml:space="preserve">Management</w:t>
      </w:r>
    </w:p>
    <w:bookmarkStart w:id="49" w:name="total-catch"/>
    <w:p>
      <w:pPr>
        <w:pStyle w:val="Heading3"/>
      </w:pPr>
      <w:r>
        <w:t xml:space="preserve">Total catch</w:t>
      </w:r>
    </w:p>
    <w:p>
      <w:pPr>
        <w:pStyle w:val="FirstParagraph"/>
      </w:pPr>
      <w:r>
        <w:drawing>
          <wp:inline>
            <wp:extent cx="3446231" cy="39057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catc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231" cy="3905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cpue"/>
    <w:p>
      <w:pPr>
        <w:pStyle w:val="Heading3"/>
      </w:pPr>
      <w:r>
        <w:t xml:space="preserve">CPUE</w:t>
      </w:r>
    </w:p>
    <w:bookmarkEnd w:id="50"/>
    <w:bookmarkStart w:id="51" w:name="catch-vs-tac"/>
    <w:p>
      <w:pPr>
        <w:pStyle w:val="Heading3"/>
      </w:pPr>
      <w:r>
        <w:t xml:space="preserve">Catch vs TAC</w:t>
      </w:r>
    </w:p>
    <w:bookmarkEnd w:id="51"/>
    <w:bookmarkStart w:id="56" w:name="stock-range"/>
    <w:p>
      <w:pPr>
        <w:pStyle w:val="Heading3"/>
      </w:pPr>
      <w:r>
        <w:t xml:space="preserve">Stock range</w:t>
      </w:r>
    </w:p>
    <w:bookmarkStart w:id="53" w:name="northern-range"/>
    <w:p>
      <w:pPr>
        <w:pStyle w:val="Heading4"/>
      </w:pPr>
      <w:r>
        <w:t xml:space="preserve">Northern range</w:t>
      </w:r>
    </w:p>
    <w:p>
      <w:pPr>
        <w:pStyle w:val="FirstParagraph"/>
      </w:pPr>
      <w:r>
        <w:t xml:space="preserve">Northernmost survey observation in each year.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nor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5" w:name="southern-range"/>
    <w:p>
      <w:pPr>
        <w:pStyle w:val="Heading4"/>
      </w:pPr>
      <w:r>
        <w:t xml:space="preserve">Southern range</w:t>
      </w:r>
    </w:p>
    <w:p>
      <w:pPr>
        <w:pStyle w:val="FirstParagraph"/>
      </w:pPr>
      <w:r>
        <w:t xml:space="preserve">Southernmost survey observation in each year.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sou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bookmarkStart w:id="57" w:name="center-of-mass"/>
    <w:p>
      <w:pPr>
        <w:pStyle w:val="Heading3"/>
      </w:pPr>
      <w:r>
        <w:t xml:space="preserve">Center of mass</w:t>
      </w:r>
    </w:p>
    <w:bookmarkEnd w:id="57"/>
    <w:bookmarkEnd w:id="58"/>
    <w:bookmarkStart w:id="59" w:name="report-card"/>
    <w:p>
      <w:pPr>
        <w:pStyle w:val="Heading2"/>
      </w:pPr>
      <w:r>
        <w:t xml:space="preserve">Report card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594"/>
        <w:gridCol w:w="594"/>
        <w:gridCol w:w="554"/>
        <w:gridCol w:w="554"/>
        <w:gridCol w:w="554"/>
        <w:gridCol w:w="554"/>
        <w:gridCol w:w="554"/>
        <w:gridCol w:w="554"/>
        <w:gridCol w:w="554"/>
        <w:gridCol w:w="514"/>
        <w:gridCol w:w="1227"/>
        <w:gridCol w:w="1108"/>
      </w:tblGrid>
      <w:tr>
        <w:tc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p>
            <w:pPr>
              <w:pStyle w:val="Compact"/>
              <w:jc w:val="left"/>
            </w:pPr>
            <w:r>
              <w:t xml:space="preserve">SST_winter</w:t>
            </w:r>
          </w:p>
        </w:tc>
        <w:tc>
          <w:p>
            <w:pPr>
              <w:pStyle w:val="Compact"/>
              <w:jc w:val="left"/>
            </w:pPr>
            <w:r>
              <w:t xml:space="preserve">SST_fall</w:t>
            </w:r>
          </w:p>
        </w:tc>
        <w:tc>
          <w:p>
            <w:pPr>
              <w:pStyle w:val="Compact"/>
              <w:jc w:val="left"/>
            </w:pPr>
            <w:r>
              <w:t xml:space="preserve">PP_winter</w:t>
            </w:r>
          </w:p>
        </w:tc>
        <w:tc>
          <w:p>
            <w:pPr>
              <w:pStyle w:val="Compact"/>
              <w:jc w:val="left"/>
            </w:pPr>
            <w:r>
              <w:t xml:space="preserve">PP_fall</w:t>
            </w:r>
          </w:p>
        </w:tc>
        <w:tc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p>
            <w:pPr>
              <w:pStyle w:val="Compact"/>
              <w:jc w:val="left"/>
            </w:pPr>
            <w:r>
              <w:t xml:space="preserve">T_min</w:t>
            </w:r>
          </w:p>
        </w:tc>
        <w:tc>
          <w:p>
            <w:pPr>
              <w:pStyle w:val="Compact"/>
              <w:jc w:val="left"/>
            </w:pPr>
            <w:r>
              <w:t xml:space="preserve">T_peak</w:t>
            </w:r>
          </w:p>
        </w:tc>
        <w:tc>
          <w:p>
            <w:pPr>
              <w:pStyle w:val="Compact"/>
              <w:jc w:val="left"/>
            </w:pPr>
            <w:r>
              <w:t xml:space="preserve">V_max</w:t>
            </w:r>
          </w:p>
        </w:tc>
        <w:tc>
          <w:p>
            <w:pPr>
              <w:pStyle w:val="Compact"/>
              <w:jc w:val="left"/>
            </w:pPr>
            <w:r>
              <w:t xml:space="preserve">SST_annual</w:t>
            </w:r>
          </w:p>
        </w:tc>
        <w:tc>
          <w:p>
            <w:pPr>
              <w:pStyle w:val="Compact"/>
              <w:jc w:val="left"/>
            </w:pPr>
            <w:r>
              <w:t xml:space="preserve">cumulative intensity degrees C</w:t>
            </w:r>
          </w:p>
        </w:tc>
        <w:tc>
          <w:p>
            <w:pPr>
              <w:pStyle w:val="Compact"/>
              <w:jc w:val="left"/>
            </w:pPr>
            <w:r>
              <w:t xml:space="preserve">maximum intensity degrees 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1.34, high</w:t>
            </w:r>
          </w:p>
        </w:tc>
        <w:tc>
          <w:p>
            <w:pPr>
              <w:pStyle w:val="Compact"/>
              <w:jc w:val="left"/>
            </w:pPr>
            <w:r>
              <w:t xml:space="preserve">1.09, neutral</w:t>
            </w:r>
          </w:p>
        </w:tc>
        <w:tc>
          <w:p>
            <w:pPr>
              <w:pStyle w:val="Compact"/>
              <w:jc w:val="left"/>
            </w:pPr>
            <w:r>
              <w:t xml:space="preserve">0.44, high</w:t>
            </w:r>
          </w:p>
        </w:tc>
        <w:tc>
          <w:p>
            <w:pPr>
              <w:pStyle w:val="Compact"/>
              <w:jc w:val="left"/>
            </w:pPr>
            <w:r>
              <w:t xml:space="preserve">0.5, neutral</w:t>
            </w:r>
          </w:p>
        </w:tc>
        <w:tc>
          <w:p>
            <w:pPr>
              <w:pStyle w:val="Compact"/>
              <w:jc w:val="left"/>
            </w:pPr>
            <w:r>
              <w:t xml:space="preserve">8.3, neutral</w:t>
            </w:r>
          </w:p>
        </w:tc>
        <w:tc>
          <w:p>
            <w:pPr>
              <w:pStyle w:val="Compact"/>
              <w:jc w:val="left"/>
            </w:pPr>
            <w:r>
              <w:t xml:space="preserve">6.17, neutral</w:t>
            </w:r>
          </w:p>
        </w:tc>
        <w:tc>
          <w:p>
            <w:pPr>
              <w:pStyle w:val="Compact"/>
              <w:jc w:val="left"/>
            </w:pPr>
            <w:r>
              <w:t xml:space="preserve">8.46, high</w:t>
            </w:r>
          </w:p>
        </w:tc>
        <w:tc>
          <w:p>
            <w:pPr>
              <w:pStyle w:val="Compact"/>
              <w:jc w:val="left"/>
            </w:pPr>
            <w:r>
              <w:t xml:space="preserve">0.74, neutral</w:t>
            </w:r>
          </w:p>
        </w:tc>
        <w:tc>
          <w:p>
            <w:pPr>
              <w:pStyle w:val="Compact"/>
              <w:jc w:val="left"/>
            </w:pPr>
            <w:r>
              <w:t xml:space="preserve">13.83, high</w:t>
            </w:r>
          </w:p>
        </w:tc>
        <w:tc>
          <w:p>
            <w:pPr>
              <w:pStyle w:val="Compact"/>
              <w:jc w:val="left"/>
            </w:pPr>
            <w:r>
              <w:t xml:space="preserve">124.89, high</w:t>
            </w:r>
          </w:p>
        </w:tc>
        <w:tc>
          <w:p>
            <w:pPr>
              <w:pStyle w:val="Compact"/>
              <w:jc w:val="left"/>
            </w:pPr>
            <w:r>
              <w:t xml:space="preserve">124.89,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1, high</w:t>
            </w:r>
          </w:p>
        </w:tc>
        <w:tc>
          <w:p>
            <w:pPr>
              <w:pStyle w:val="Compact"/>
              <w:jc w:val="left"/>
            </w:pPr>
            <w:r>
              <w:t xml:space="preserve">1.37, high</w:t>
            </w:r>
          </w:p>
        </w:tc>
        <w:tc>
          <w:p>
            <w:pPr>
              <w:pStyle w:val="Compact"/>
              <w:jc w:val="left"/>
            </w:pPr>
            <w:r>
              <w:t xml:space="preserve">0.4, neutral</w:t>
            </w:r>
          </w:p>
        </w:tc>
        <w:tc>
          <w:p>
            <w:pPr>
              <w:pStyle w:val="Compact"/>
              <w:jc w:val="left"/>
            </w:pPr>
            <w:r>
              <w:t xml:space="preserve">0.55, neutral</w:t>
            </w:r>
          </w:p>
        </w:tc>
        <w:tc>
          <w:p>
            <w:pPr>
              <w:pStyle w:val="Compact"/>
              <w:jc w:val="left"/>
            </w:pPr>
            <w:r>
              <w:t xml:space="preserve">8.01, neutral</w:t>
            </w:r>
          </w:p>
        </w:tc>
        <w:tc>
          <w:p>
            <w:pPr>
              <w:pStyle w:val="Compact"/>
              <w:jc w:val="left"/>
            </w:pPr>
            <w:r>
              <w:t xml:space="preserve">5.86, neutral</w:t>
            </w:r>
          </w:p>
        </w:tc>
        <w:tc>
          <w:p>
            <w:pPr>
              <w:pStyle w:val="Compact"/>
              <w:jc w:val="left"/>
            </w:pPr>
            <w:r>
              <w:t xml:space="preserve">7.91, neutral</w:t>
            </w:r>
          </w:p>
        </w:tc>
        <w:tc>
          <w:p>
            <w:pPr>
              <w:pStyle w:val="Compact"/>
              <w:jc w:val="left"/>
            </w:pPr>
            <w:r>
              <w:t xml:space="preserve">0.75, neutral</w:t>
            </w:r>
          </w:p>
        </w:tc>
        <w:tc>
          <w:p>
            <w:pPr>
              <w:pStyle w:val="Compact"/>
              <w:jc w:val="left"/>
            </w:pPr>
            <w:r>
              <w:t xml:space="preserve">13.31, high</w:t>
            </w:r>
          </w:p>
        </w:tc>
        <w:tc>
          <w:p>
            <w:pPr>
              <w:pStyle w:val="Compact"/>
              <w:jc w:val="left"/>
            </w:pPr>
            <w:r>
              <w:t xml:space="preserve">79.92, neutral</w:t>
            </w:r>
          </w:p>
        </w:tc>
        <w:tc>
          <w:p>
            <w:pPr>
              <w:pStyle w:val="Compact"/>
              <w:jc w:val="left"/>
            </w:pPr>
            <w:r>
              <w:t xml:space="preserve">79.92, neutral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-0.45, neutral</w:t>
            </w:r>
          </w:p>
        </w:tc>
        <w:tc>
          <w:p>
            <w:pPr>
              <w:pStyle w:val="Compact"/>
              <w:jc w:val="left"/>
            </w:pPr>
            <w:r>
              <w:t xml:space="preserve">0.21, neutral</w:t>
            </w:r>
          </w:p>
        </w:tc>
        <w:tc>
          <w:p>
            <w:pPr>
              <w:pStyle w:val="Compact"/>
              <w:jc w:val="left"/>
            </w:pPr>
            <w:r>
              <w:t xml:space="preserve">0.37, neutral</w:t>
            </w:r>
          </w:p>
        </w:tc>
        <w:tc>
          <w:p>
            <w:pPr>
              <w:pStyle w:val="Compact"/>
              <w:jc w:val="left"/>
            </w:pPr>
            <w:r>
              <w:t xml:space="preserve">0.46, neutral</w:t>
            </w:r>
          </w:p>
        </w:tc>
        <w:tc>
          <w:p>
            <w:pPr>
              <w:pStyle w:val="Compact"/>
              <w:jc w:val="left"/>
            </w:pPr>
            <w:r>
              <w:t xml:space="preserve">7.87, neutral</w:t>
            </w:r>
          </w:p>
        </w:tc>
        <w:tc>
          <w:p>
            <w:pPr>
              <w:pStyle w:val="Compact"/>
              <w:jc w:val="left"/>
            </w:pPr>
            <w:r>
              <w:t xml:space="preserve">5.27, neutral</w:t>
            </w:r>
          </w:p>
        </w:tc>
        <w:tc>
          <w:p>
            <w:pPr>
              <w:pStyle w:val="Compact"/>
              <w:jc w:val="left"/>
            </w:pPr>
            <w:r>
              <w:t xml:space="preserve">7.49, neutral</w:t>
            </w:r>
          </w:p>
        </w:tc>
        <w:tc>
          <w:p>
            <w:pPr>
              <w:pStyle w:val="Compact"/>
              <w:jc w:val="left"/>
            </w:pPr>
            <w:r>
              <w:t xml:space="preserve">0.74, neutral</w:t>
            </w:r>
          </w:p>
        </w:tc>
        <w:tc>
          <w:p>
            <w:pPr>
              <w:pStyle w:val="Compact"/>
              <w:jc w:val="left"/>
            </w:pPr>
            <w:r>
              <w:t xml:space="preserve">12.87, high</w:t>
            </w:r>
          </w:p>
        </w:tc>
        <w:tc>
          <w:p>
            <w:pPr>
              <w:pStyle w:val="Compact"/>
              <w:jc w:val="left"/>
            </w:pPr>
            <w:r>
              <w:t xml:space="preserve">77.71, neutral</w:t>
            </w:r>
          </w:p>
        </w:tc>
        <w:tc>
          <w:p>
            <w:pPr>
              <w:pStyle w:val="Compact"/>
              <w:jc w:val="left"/>
            </w:pPr>
            <w:r>
              <w:t xml:space="preserve">77.71, neutral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-0.3, neutral</w:t>
            </w:r>
          </w:p>
        </w:tc>
        <w:tc>
          <w:p>
            <w:pPr>
              <w:pStyle w:val="Compact"/>
              <w:jc w:val="left"/>
            </w:pPr>
            <w:r>
              <w:t xml:space="preserve">0.87, neutral</w:t>
            </w:r>
          </w:p>
        </w:tc>
        <w:tc>
          <w:p>
            <w:pPr>
              <w:pStyle w:val="Compact"/>
              <w:jc w:val="left"/>
            </w:pPr>
            <w:r>
              <w:t xml:space="preserve">0.39, neutral</w:t>
            </w:r>
          </w:p>
        </w:tc>
        <w:tc>
          <w:p>
            <w:pPr>
              <w:pStyle w:val="Compact"/>
              <w:jc w:val="left"/>
            </w:pPr>
            <w:r>
              <w:t xml:space="preserve">0.5, neutral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12.73, high</w:t>
            </w:r>
          </w:p>
        </w:tc>
        <w:tc>
          <w:p>
            <w:pPr>
              <w:pStyle w:val="Compact"/>
              <w:jc w:val="left"/>
            </w:pPr>
            <w:r>
              <w:t xml:space="preserve">80.26, neutral</w:t>
            </w:r>
          </w:p>
        </w:tc>
        <w:tc>
          <w:p>
            <w:pPr>
              <w:pStyle w:val="Compact"/>
              <w:jc w:val="left"/>
            </w:pPr>
            <w:r>
              <w:t xml:space="preserve">80.26, neutral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1.04, high</w:t>
            </w:r>
          </w:p>
        </w:tc>
        <w:tc>
          <w:p>
            <w:pPr>
              <w:pStyle w:val="Compact"/>
              <w:jc w:val="left"/>
            </w:pPr>
            <w:r>
              <w:t xml:space="preserve">2.68, high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13.41, high</w:t>
            </w:r>
          </w:p>
        </w:tc>
        <w:tc>
          <w:p>
            <w:pPr>
              <w:pStyle w:val="Compact"/>
              <w:jc w:val="left"/>
            </w:pPr>
            <w:r>
              <w:t xml:space="preserve">134.81, high</w:t>
            </w:r>
          </w:p>
        </w:tc>
        <w:tc>
          <w:p>
            <w:pPr>
              <w:pStyle w:val="Compact"/>
              <w:jc w:val="left"/>
            </w:pPr>
            <w:r>
              <w:t xml:space="preserve">134.81,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5-year mean</w:t>
            </w:r>
          </w:p>
        </w:tc>
        <w:tc>
          <w:p>
            <w:pPr>
              <w:pStyle w:val="Compact"/>
              <w:jc w:val="left"/>
            </w:pPr>
            <w:r>
              <w:t xml:space="preserve">0.53 ± 0.83</w:t>
            </w:r>
          </w:p>
        </w:tc>
        <w:tc>
          <w:p>
            <w:pPr>
              <w:pStyle w:val="Compact"/>
              <w:jc w:val="left"/>
            </w:pPr>
            <w:r>
              <w:t xml:space="preserve">1.24 ± 0.91</w:t>
            </w:r>
          </w:p>
        </w:tc>
        <w:tc>
          <w:p>
            <w:pPr>
              <w:pStyle w:val="Compact"/>
              <w:jc w:val="left"/>
            </w:pPr>
            <w:r>
              <w:t xml:space="preserve">0.4 ± 0.03</w:t>
            </w:r>
          </w:p>
        </w:tc>
        <w:tc>
          <w:p>
            <w:pPr>
              <w:pStyle w:val="Compact"/>
              <w:jc w:val="left"/>
            </w:pPr>
            <w:r>
              <w:t xml:space="preserve">0.5 ± 0.04</w:t>
            </w:r>
          </w:p>
        </w:tc>
        <w:tc>
          <w:p>
            <w:pPr>
              <w:pStyle w:val="Compact"/>
              <w:jc w:val="left"/>
            </w:pPr>
            <w:r>
              <w:t xml:space="preserve">8.06 ± 0.22</w:t>
            </w:r>
          </w:p>
        </w:tc>
        <w:tc>
          <w:p>
            <w:pPr>
              <w:pStyle w:val="Compact"/>
              <w:jc w:val="left"/>
            </w:pPr>
            <w:r>
              <w:t xml:space="preserve">5.76 ± 0.46</w:t>
            </w:r>
          </w:p>
        </w:tc>
        <w:tc>
          <w:p>
            <w:pPr>
              <w:pStyle w:val="Compact"/>
              <w:jc w:val="left"/>
            </w:pPr>
            <w:r>
              <w:t xml:space="preserve">7.96 ± 0.48</w:t>
            </w:r>
          </w:p>
        </w:tc>
        <w:tc>
          <w:p>
            <w:pPr>
              <w:pStyle w:val="Compact"/>
              <w:jc w:val="left"/>
            </w:pPr>
            <w:r>
              <w:t xml:space="preserve">0.74 ± 0.01</w:t>
            </w:r>
          </w:p>
        </w:tc>
        <w:tc>
          <w:p>
            <w:pPr>
              <w:pStyle w:val="Compact"/>
              <w:jc w:val="left"/>
            </w:pPr>
            <w:r>
              <w:t xml:space="preserve">13.23 ± 0.44</w:t>
            </w:r>
          </w:p>
        </w:tc>
        <w:tc>
          <w:p>
            <w:pPr>
              <w:pStyle w:val="Compact"/>
              <w:jc w:val="left"/>
            </w:pPr>
            <w:r>
              <w:t xml:space="preserve">99.52 ± 27.93</w:t>
            </w:r>
          </w:p>
        </w:tc>
        <w:tc>
          <w:p>
            <w:pPr>
              <w:pStyle w:val="Compact"/>
              <w:jc w:val="left"/>
            </w:pPr>
            <w:r>
              <w:t xml:space="preserve">99.52 ± 27.93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long-term mean</w:t>
            </w:r>
          </w:p>
        </w:tc>
        <w:tc>
          <w:p>
            <w:pPr>
              <w:pStyle w:val="Compact"/>
              <w:jc w:val="left"/>
            </w:pPr>
            <w:r>
              <w:t xml:space="preserve">-0.04 ± 0.83</w:t>
            </w:r>
          </w:p>
        </w:tc>
        <w:tc>
          <w:p>
            <w:pPr>
              <w:pStyle w:val="Compact"/>
              <w:jc w:val="left"/>
            </w:pPr>
            <w:r>
              <w:t xml:space="preserve">0.21 ± 0.89</w:t>
            </w:r>
          </w:p>
        </w:tc>
        <w:tc>
          <w:p>
            <w:pPr>
              <w:pStyle w:val="Compact"/>
              <w:jc w:val="left"/>
            </w:pPr>
            <w:r>
              <w:t xml:space="preserve">0.4 ± 0.03</w:t>
            </w:r>
          </w:p>
        </w:tc>
        <w:tc>
          <w:p>
            <w:pPr>
              <w:pStyle w:val="Compact"/>
              <w:jc w:val="left"/>
            </w:pPr>
            <w:r>
              <w:t xml:space="preserve">0.52 ± 0.06</w:t>
            </w:r>
          </w:p>
        </w:tc>
        <w:tc>
          <w:p>
            <w:pPr>
              <w:pStyle w:val="Compact"/>
              <w:jc w:val="left"/>
            </w:pPr>
            <w:r>
              <w:t xml:space="preserve">7.92 ± 0.43</w:t>
            </w:r>
          </w:p>
        </w:tc>
        <w:tc>
          <w:p>
            <w:pPr>
              <w:pStyle w:val="Compact"/>
              <w:jc w:val="left"/>
            </w:pPr>
            <w:r>
              <w:t xml:space="preserve">5.33 ± 0.85</w:t>
            </w:r>
          </w:p>
        </w:tc>
        <w:tc>
          <w:p>
            <w:pPr>
              <w:pStyle w:val="Compact"/>
              <w:jc w:val="left"/>
            </w:pPr>
            <w:r>
              <w:t xml:space="preserve">7.83 ± 0.58</w:t>
            </w:r>
          </w:p>
        </w:tc>
        <w:tc>
          <w:p>
            <w:pPr>
              <w:pStyle w:val="Compact"/>
              <w:jc w:val="left"/>
            </w:pPr>
            <w:r>
              <w:t xml:space="preserve">0.75 ± 0.03</w:t>
            </w:r>
          </w:p>
        </w:tc>
        <w:tc>
          <w:p>
            <w:pPr>
              <w:pStyle w:val="Compact"/>
              <w:jc w:val="left"/>
            </w:pPr>
            <w:r>
              <w:t xml:space="preserve">11.79 ± 0.72</w:t>
            </w:r>
          </w:p>
        </w:tc>
        <w:tc>
          <w:p>
            <w:pPr>
              <w:pStyle w:val="Compact"/>
              <w:jc w:val="left"/>
            </w:pPr>
            <w:r>
              <w:t xml:space="preserve">59.83 ± 58.78</w:t>
            </w:r>
          </w:p>
        </w:tc>
        <w:tc>
          <w:p>
            <w:pPr>
              <w:pStyle w:val="Compact"/>
              <w:jc w:val="left"/>
            </w:pPr>
            <w:r>
              <w:t xml:space="preserve">59.83 ± 58.78</w:t>
            </w:r>
          </w:p>
        </w:tc>
      </w:tr>
    </w:tbl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37" Target="media/rId37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sea bass indicator analysis</dc:title>
  <dc:creator>Abigail Tyrell</dc:creator>
  <cp:keywords/>
  <dcterms:created xsi:type="dcterms:W3CDTF">2021-04-26T20:34:28Z</dcterms:created>
  <dcterms:modified xsi:type="dcterms:W3CDTF">2021-04-26T20:34:28Z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Apr 2021</vt:lpwstr>
  </property>
  <property fmtid="{D5CDD505-2E9C-101B-9397-08002B2CF9AE}" pid="3" name="output">
    <vt:lpwstr>word_document</vt:lpwstr>
  </property>
</Properties>
</file>