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9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60" w:name="report-card"/>
    <w:p>
      <w:pPr>
        <w:pStyle w:val="Heading2"/>
      </w:pPr>
      <w:r>
        <w:t xml:space="preserve">Report card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255"/>
        <w:gridCol w:w="902"/>
        <w:gridCol w:w="868"/>
        <w:gridCol w:w="681"/>
        <w:gridCol w:w="647"/>
        <w:gridCol w:w="238"/>
        <w:gridCol w:w="238"/>
        <w:gridCol w:w="238"/>
        <w:gridCol w:w="238"/>
        <w:gridCol w:w="425"/>
        <w:gridCol w:w="425"/>
        <w:gridCol w:w="562"/>
        <w:gridCol w:w="510"/>
        <w:gridCol w:w="562"/>
        <w:gridCol w:w="510"/>
        <w:gridCol w:w="306"/>
        <w:gridCol w:w="306"/>
      </w:tblGrid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winter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fall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winter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fall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degreesC.x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degreesC.y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C.x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C.x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C.y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C.y</w:t>
            </w:r>
          </w:p>
        </w:tc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southern_latitude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2016</w:t>
            </w:r>
          </w:p>
        </w:tc>
        <w:tc>
          <w:p>
            <w:pPr>
              <w:pStyle w:val="Compact"/>
              <w:jc w:val="left"/>
            </w:pPr>
            <w:r>
              <w:t xml:space="preserve">1.34, high</w:t>
            </w:r>
          </w:p>
        </w:tc>
        <w:tc>
          <w:p>
            <w:pPr>
              <w:pStyle w:val="Compact"/>
              <w:jc w:val="left"/>
            </w:pPr>
            <w:r>
              <w:t xml:space="preserve">1.09, neutral</w:t>
            </w:r>
          </w:p>
        </w:tc>
        <w:tc>
          <w:p>
            <w:pPr>
              <w:pStyle w:val="Compact"/>
              <w:jc w:val="left"/>
            </w:pPr>
            <w:r>
              <w:t xml:space="preserve">0.44, high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42.55, neutral</w:t>
            </w:r>
          </w:p>
        </w:tc>
        <w:tc>
          <w:p>
            <w:pPr>
              <w:pStyle w:val="Compact"/>
              <w:jc w:val="left"/>
            </w:pPr>
            <w:r>
              <w:t xml:space="preserve">35.39,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2017</w:t>
            </w:r>
          </w:p>
        </w:tc>
        <w:tc>
          <w:p>
            <w:pPr>
              <w:pStyle w:val="Compact"/>
              <w:jc w:val="left"/>
            </w:pPr>
            <w:r>
              <w:t xml:space="preserve">1, high</w:t>
            </w:r>
          </w:p>
        </w:tc>
        <w:tc>
          <w:p>
            <w:pPr>
              <w:pStyle w:val="Compact"/>
              <w:jc w:val="left"/>
            </w:pPr>
            <w:r>
              <w:t xml:space="preserve">1.37, high</w:t>
            </w:r>
          </w:p>
        </w:tc>
        <w:tc>
          <w:p>
            <w:pPr>
              <w:pStyle w:val="Compact"/>
              <w:jc w:val="left"/>
            </w:pPr>
            <w:r>
              <w:t xml:space="preserve">0.4, neutral</w:t>
            </w:r>
          </w:p>
        </w:tc>
        <w:tc>
          <w:p>
            <w:pPr>
              <w:pStyle w:val="Compact"/>
              <w:jc w:val="left"/>
            </w:pPr>
            <w:r>
              <w:t xml:space="preserve">0.55,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41.99, neutral</w:t>
            </w:r>
          </w:p>
        </w:tc>
        <w:tc>
          <w:p>
            <w:pPr>
              <w:pStyle w:val="Compact"/>
              <w:jc w:val="left"/>
            </w:pPr>
            <w:r>
              <w:t xml:space="preserve">35.74,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</w:t>
            </w:r>
          </w:p>
        </w:tc>
        <w:tc>
          <w:p>
            <w:pPr>
              <w:pStyle w:val="Compact"/>
              <w:jc w:val="left"/>
            </w:pPr>
            <w:r>
              <w:t xml:space="preserve">-0.45, neutral</w:t>
            </w:r>
          </w:p>
        </w:tc>
        <w:tc>
          <w:p>
            <w:pPr>
              <w:pStyle w:val="Compact"/>
              <w:jc w:val="left"/>
            </w:pPr>
            <w:r>
              <w:t xml:space="preserve">0.21, neutral</w:t>
            </w:r>
          </w:p>
        </w:tc>
        <w:tc>
          <w:p>
            <w:pPr>
              <w:pStyle w:val="Compact"/>
              <w:jc w:val="left"/>
            </w:pPr>
            <w:r>
              <w:t xml:space="preserve">0.37, neutral</w:t>
            </w:r>
          </w:p>
        </w:tc>
        <w:tc>
          <w:p>
            <w:pPr>
              <w:pStyle w:val="Compact"/>
              <w:jc w:val="left"/>
            </w:pPr>
            <w:r>
              <w:t xml:space="preserve">0.46,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42.37, neutral</w:t>
            </w:r>
          </w:p>
        </w:tc>
        <w:tc>
          <w:p>
            <w:pPr>
              <w:pStyle w:val="Compact"/>
              <w:jc w:val="left"/>
            </w:pPr>
            <w:r>
              <w:t xml:space="preserve">35.7,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p>
            <w:pPr>
              <w:pStyle w:val="Compact"/>
              <w:jc w:val="left"/>
            </w:pPr>
            <w:r>
              <w:t xml:space="preserve">-0.3, neutral</w:t>
            </w:r>
          </w:p>
        </w:tc>
        <w:tc>
          <w:p>
            <w:pPr>
              <w:pStyle w:val="Compact"/>
              <w:jc w:val="left"/>
            </w:pPr>
            <w:r>
              <w:t xml:space="preserve">0.87, neutral</w:t>
            </w:r>
          </w:p>
        </w:tc>
        <w:tc>
          <w:p>
            <w:pPr>
              <w:pStyle w:val="Compact"/>
              <w:jc w:val="left"/>
            </w:pPr>
            <w:r>
              <w:t xml:space="preserve">0.39, neutral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42.59, neutral</w:t>
            </w:r>
          </w:p>
        </w:tc>
        <w:tc>
          <w:p>
            <w:pPr>
              <w:pStyle w:val="Compact"/>
              <w:jc w:val="left"/>
            </w:pPr>
            <w:r>
              <w:t xml:space="preserve">35.05,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p>
            <w:pPr>
              <w:pStyle w:val="Compact"/>
              <w:jc w:val="left"/>
            </w:pPr>
            <w:r>
              <w:t xml:space="preserve">1.04, high</w:t>
            </w:r>
          </w:p>
        </w:tc>
        <w:tc>
          <w:p>
            <w:pPr>
              <w:pStyle w:val="Compact"/>
              <w:jc w:val="left"/>
            </w:pPr>
            <w:r>
              <w:t xml:space="preserve">2.68, high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40.17, low</w:t>
            </w:r>
          </w:p>
        </w:tc>
        <w:tc>
          <w:p>
            <w:pPr>
              <w:pStyle w:val="Compact"/>
              <w:jc w:val="left"/>
            </w:pPr>
            <w:r>
              <w:t xml:space="preserve">35.5,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recent mean</w:t>
            </w:r>
          </w:p>
        </w:tc>
        <w:tc>
          <w:p>
            <w:pPr>
              <w:pStyle w:val="Compact"/>
              <w:jc w:val="left"/>
            </w:pPr>
            <w:r>
              <w:t xml:space="preserve">0.53 Â± 0.83</w:t>
            </w:r>
          </w:p>
        </w:tc>
        <w:tc>
          <w:p>
            <w:pPr>
              <w:pStyle w:val="Compact"/>
              <w:jc w:val="left"/>
            </w:pPr>
            <w:r>
              <w:t xml:space="preserve">1.24 Â± 0.91</w:t>
            </w:r>
          </w:p>
        </w:tc>
        <w:tc>
          <w:p>
            <w:pPr>
              <w:pStyle w:val="Compact"/>
              <w:jc w:val="left"/>
            </w:pPr>
            <w:r>
              <w:t xml:space="preserve">0.4 Â± 0.03</w:t>
            </w:r>
          </w:p>
        </w:tc>
        <w:tc>
          <w:p>
            <w:pPr>
              <w:pStyle w:val="Compact"/>
              <w:jc w:val="left"/>
            </w:pPr>
            <w:r>
              <w:t xml:space="preserve">0.5 Â± 0.04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13.23 Â± 0.44</w:t>
            </w:r>
          </w:p>
        </w:tc>
        <w:tc>
          <w:p>
            <w:pPr>
              <w:pStyle w:val="Compact"/>
              <w:jc w:val="left"/>
            </w:pPr>
            <w:r>
              <w:t xml:space="preserve">13.23 Â± 0.44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41.93 Â± 1.01</w:t>
            </w:r>
          </w:p>
        </w:tc>
        <w:tc>
          <w:p>
            <w:pPr>
              <w:pStyle w:val="Compact"/>
              <w:jc w:val="left"/>
            </w:pPr>
            <w:r>
              <w:t xml:space="preserve">35.48 Â±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mean</w:t>
            </w:r>
          </w:p>
        </w:tc>
        <w:tc>
          <w:p>
            <w:pPr>
              <w:pStyle w:val="Compact"/>
              <w:jc w:val="left"/>
            </w:pPr>
            <w:r>
              <w:t xml:space="preserve">-0.04 Â± 0.83</w:t>
            </w:r>
          </w:p>
        </w:tc>
        <w:tc>
          <w:p>
            <w:pPr>
              <w:pStyle w:val="Compact"/>
              <w:jc w:val="left"/>
            </w:pPr>
            <w:r>
              <w:t xml:space="preserve">0.21 Â± 0.89</w:t>
            </w:r>
          </w:p>
        </w:tc>
        <w:tc>
          <w:p>
            <w:pPr>
              <w:pStyle w:val="Compact"/>
              <w:jc w:val="left"/>
            </w:pPr>
            <w:r>
              <w:t xml:space="preserve">0.4 Â± 0.03</w:t>
            </w:r>
          </w:p>
        </w:tc>
        <w:tc>
          <w:p>
            <w:pPr>
              <w:pStyle w:val="Compact"/>
              <w:jc w:val="left"/>
            </w:pPr>
            <w:r>
              <w:t xml:space="preserve">0.52 Â± 0.06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11.79 Â± 0.72</w:t>
            </w:r>
          </w:p>
        </w:tc>
        <w:tc>
          <w:p>
            <w:pPr>
              <w:pStyle w:val="Compact"/>
              <w:jc w:val="left"/>
            </w:pPr>
            <w:r>
              <w:t xml:space="preserve">11.79 Â± 0.72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41.87 Â± 0.73</w:t>
            </w:r>
          </w:p>
        </w:tc>
        <w:tc>
          <w:p>
            <w:pPr>
              <w:pStyle w:val="Compact"/>
              <w:jc w:val="left"/>
            </w:pPr>
            <w:r>
              <w:t xml:space="preserve">35.16 Â± 1.53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integer(0)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rpt-car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2021-04-28T17:30:24Z</dcterms:created>
  <dcterms:modified xsi:type="dcterms:W3CDTF">2021-04-28T17:30:24Z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28 Apr 2021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