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346A67B8"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4B74346B"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Pr="00400188">
        <w:rPr>
          <w:rStyle w:val="Hyperlink"/>
          <w:rFonts w:ascii="Arial" w:eastAsiaTheme="minorHAnsi" w:hAnsi="Arial" w:cs="Arial"/>
          <w:color w:val="auto"/>
          <w:u w:val="none"/>
          <w:shd w:val="clear" w:color="auto" w:fill="FFFFFF"/>
        </w:rPr>
        <w:t xml:space="preserve">, Kirby, J. T., &amp; Shi, F. (2022).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6"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6A147D59"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7" w:history="1">
        <w:r w:rsidRPr="00A31C47">
          <w:rPr>
            <w:rStyle w:val="Hyperlink"/>
            <w:rFonts w:ascii="Arial" w:eastAsiaTheme="minorHAnsi" w:hAnsi="Arial" w:cs="Arial"/>
            <w:shd w:val="clear" w:color="auto" w:fill="FFFFFF"/>
          </w:rPr>
          <w:t>https://doi.org/10.1175/MWR-D-21-0023.1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0A1FABF0" w14:textId="35B4E80E" w:rsidR="009D5542" w:rsidRPr="009D5542" w:rsidRDefault="009D5542" w:rsidP="005D1368">
      <w:pPr>
        <w:pStyle w:val="NormalWeb"/>
        <w:spacing w:before="0" w:beforeAutospacing="0" w:after="0" w:afterAutospacing="0"/>
        <w:rPr>
          <w:rStyle w:val="Hyperlink"/>
          <w:rFonts w:ascii="Arial" w:eastAsiaTheme="minorHAnsi" w:hAnsi="Arial" w:cs="Arial"/>
          <w:color w:val="000000" w:themeColor="text1"/>
          <w:u w:val="none"/>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8" w:history="1">
        <w:r w:rsidRPr="009D5542">
          <w:rPr>
            <w:rStyle w:val="Hyperlink"/>
            <w:rFonts w:ascii="Arial" w:eastAsiaTheme="minorHAnsi" w:hAnsi="Arial" w:cs="Arial"/>
            <w:shd w:val="clear" w:color="auto" w:fill="FFFFFF"/>
          </w:rPr>
          <w:t>https://doi.org/10.1175/MWR-D-20-0405.1</w:t>
        </w:r>
      </w:hyperlink>
    </w:p>
    <w:p w14:paraId="27E954BB" w14:textId="77777777" w:rsidR="005D1368" w:rsidRDefault="005D1368" w:rsidP="00312939">
      <w:pPr>
        <w:pStyle w:val="NormalWeb"/>
        <w:spacing w:before="0" w:beforeAutospacing="0" w:after="0" w:afterAutospacing="0"/>
        <w:rPr>
          <w:rFonts w:ascii="Arial" w:hAnsi="Arial" w:cs="Arial"/>
          <w:sz w:val="36"/>
          <w:szCs w:val="36"/>
        </w:rPr>
      </w:pPr>
    </w:p>
    <w:p w14:paraId="39CBE738" w14:textId="03EFF727"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bookmarkStart w:id="0" w:name="_GoBack"/>
      <w:bookmarkEnd w:id="0"/>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9"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10"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11"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2"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3"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4"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5"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6"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7"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18"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19"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20"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21" w:anchor="affiliation0" w:history="1"/>
      <w:r w:rsidRPr="006132F3">
        <w:rPr>
          <w:rFonts w:ascii="Arial" w:eastAsiaTheme="minorHAnsi" w:hAnsi="Arial" w:cs="Arial"/>
          <w:shd w:val="clear" w:color="auto" w:fill="FFFFFF"/>
        </w:rPr>
        <w:t>, and </w:t>
      </w:r>
      <w:hyperlink r:id="rId22"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3"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4"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5"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6"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7"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28"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29"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30"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31"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2"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3"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4"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5"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6"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7"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38"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39"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40"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41"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2"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3"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4"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5"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6"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7"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48"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49"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50"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51"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2"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3"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4"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5"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6"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7"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58"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9D5542" w:rsidP="00041633">
      <w:pPr>
        <w:pStyle w:val="NormalWeb"/>
        <w:spacing w:before="0" w:beforeAutospacing="0" w:after="0" w:afterAutospacing="0"/>
        <w:rPr>
          <w:rFonts w:ascii="Arial" w:hAnsi="Arial" w:cs="Arial"/>
        </w:rPr>
      </w:pPr>
      <w:hyperlink r:id="rId59"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60"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61"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2"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3"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4"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5"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6"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7"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68"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69"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70"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71"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2"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3"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4"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5"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6"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7"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78"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79"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80"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81"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2"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3"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4"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9D5542">
      <w:pPr>
        <w:pStyle w:val="NormalWeb"/>
        <w:spacing w:before="0" w:beforeAutospacing="0" w:after="0" w:afterAutospacing="0"/>
        <w:rPr>
          <w:rFonts w:ascii="Arial" w:hAnsi="Arial" w:cs="Arial"/>
          <w:color w:val="1A1A1A"/>
        </w:rPr>
      </w:pPr>
      <w:hyperlink r:id="rId85"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6"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7"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88"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89"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90"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91"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2"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3"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4"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5"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6"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7"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98"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99"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00"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01"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2"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3"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4"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5"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6"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7"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08"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09"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10"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11"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2"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3"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4"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5"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6"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7"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18"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19"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20"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21"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2"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3"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4"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5"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6"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7"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28"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29"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30"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31"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2"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3"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4"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5"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6"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7"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38"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39"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40"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41"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2"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3"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4"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5"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6"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7"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48"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49"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50"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51"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2"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3"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4"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5"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6"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7"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58"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59"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60">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61"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2"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3"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4"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5"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6"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7"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68"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69"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70"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71"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2"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3"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4"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5"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6"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7"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78"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79"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80"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81"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2"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3"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4"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5"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6"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7"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88"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89"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90"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91"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2"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3"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4"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5"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6"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7"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198"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199"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00"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01"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2"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3"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4"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5"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6"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7"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08"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09"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10"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11"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2"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3"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4"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5"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6"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7"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18"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19"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20"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21"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2"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3"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4"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5"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6"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7"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28"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29"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30"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31"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2"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3"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4"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5"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6"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7"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38"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39"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40"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41"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2"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3"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4"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5"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6"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7"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48"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49"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50"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51"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2"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3"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4"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5"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6"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7"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58"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59"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60"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61"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2"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3"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4"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JHM-D-17-0152.1" TargetMode="External"/><Relationship Id="rId21" Type="http://schemas.openxmlformats.org/officeDocument/2006/relationships/hyperlink" Target="https://journals.ametsoc.org/view/journals/wefo/aop/WAF-D-20-0014.1/WAF-D-20-0014.1.xml" TargetMode="External"/><Relationship Id="rId63" Type="http://schemas.openxmlformats.org/officeDocument/2006/relationships/hyperlink" Target="https://repository.library.noaa.gov/view/noaa/23059" TargetMode="External"/><Relationship Id="rId159" Type="http://schemas.openxmlformats.org/officeDocument/2006/relationships/hyperlink" Target="https://doi.org/10.1175/BAMS-D-15-00149.1" TargetMode="External"/><Relationship Id="rId170" Type="http://schemas.openxmlformats.org/officeDocument/2006/relationships/hyperlink" Target="https://doi.org/10.1002/2017JD027597" TargetMode="External"/><Relationship Id="rId226" Type="http://schemas.openxmlformats.org/officeDocument/2006/relationships/hyperlink" Target="https://doi.org/10.1175/BAMS-D-13-00093.1" TargetMode="External"/><Relationship Id="rId107" Type="http://schemas.openxmlformats.org/officeDocument/2006/relationships/hyperlink" Target="https://doi.org/10.1017/jfm.2017.808" TargetMode="External"/><Relationship Id="rId11" Type="http://schemas.openxmlformats.org/officeDocument/2006/relationships/hyperlink" Target="https://doi.org/10.5194/gmd-14-7425-2021" TargetMode="External"/><Relationship Id="rId32" Type="http://schemas.openxmlformats.org/officeDocument/2006/relationships/hyperlink" Target="https://doi.org/10.1175/WAF-D-21-0069.1" TargetMode="External"/><Relationship Id="rId53" Type="http://schemas.openxmlformats.org/officeDocument/2006/relationships/hyperlink" Target="https://doi.org/10.1175/BAMS-D-19-0020.1" TargetMode="External"/><Relationship Id="rId74" Type="http://schemas.openxmlformats.org/officeDocument/2006/relationships/hyperlink" Target="https://www.mdpi.com/2073-4433/11/8/801/pdf" TargetMode="External"/><Relationship Id="rId128" Type="http://schemas.openxmlformats.org/officeDocument/2006/relationships/hyperlink" Target="https://repository.library.noaa.gov/view/noaa/17723" TargetMode="External"/><Relationship Id="rId149" Type="http://schemas.openxmlformats.org/officeDocument/2006/relationships/hyperlink" Target="https://doi.org/10.1007/s10236-016-1025-0" TargetMode="External"/><Relationship Id="rId5" Type="http://schemas.openxmlformats.org/officeDocument/2006/relationships/webSettings" Target="webSettings.xml"/><Relationship Id="rId95" Type="http://schemas.openxmlformats.org/officeDocument/2006/relationships/hyperlink" Target="https://www.sciencedirect.com/science/article/pii/S2212094718301415" TargetMode="External"/><Relationship Id="rId160" Type="http://schemas.openxmlformats.org/officeDocument/2006/relationships/hyperlink" Target="https://doi.org/10.1175/WAF-D-17-0046.1" TargetMode="External"/><Relationship Id="rId181" Type="http://schemas.openxmlformats.org/officeDocument/2006/relationships/hyperlink" Target="https://doi.org/10.1175/JHM-D-16-0112.1" TargetMode="External"/><Relationship Id="rId216" Type="http://schemas.openxmlformats.org/officeDocument/2006/relationships/hyperlink" Target="https://doi.org/10.1175/BAMS-D-14-00164.1" TargetMode="External"/><Relationship Id="rId237" Type="http://schemas.openxmlformats.org/officeDocument/2006/relationships/hyperlink" Target="https://acp.copernicus.org/articles/15/12595/2015/acp-15-12595-2015.pdf" TargetMode="External"/><Relationship Id="rId258" Type="http://schemas.openxmlformats.org/officeDocument/2006/relationships/hyperlink" Target="https://doi.org/10.1007/s00376-015-5041-7" TargetMode="External"/><Relationship Id="rId22" Type="http://schemas.openxmlformats.org/officeDocument/2006/relationships/hyperlink" Target="https://journals.ametsoc.org/search?f_0=author&amp;q_0=Jon+Gottschalck" TargetMode="External"/><Relationship Id="rId43" Type="http://schemas.openxmlformats.org/officeDocument/2006/relationships/hyperlink" Target="https://www.mdpi.com/2073-4433/11/8/869/pdf" TargetMode="External"/><Relationship Id="rId64" Type="http://schemas.openxmlformats.org/officeDocument/2006/relationships/hyperlink" Target="https://repository.library.noaa.gov/view/noaa/23060" TargetMode="External"/><Relationship Id="rId118" Type="http://schemas.openxmlformats.org/officeDocument/2006/relationships/hyperlink" Target="https://doi.org/10.1007/978-3-642-40457-3_13-1" TargetMode="External"/><Relationship Id="rId139" Type="http://schemas.openxmlformats.org/officeDocument/2006/relationships/hyperlink" Target="https://doi.org/10.1175/WAF-D-17-0115.1" TargetMode="External"/><Relationship Id="rId85" Type="http://schemas.openxmlformats.org/officeDocument/2006/relationships/hyperlink" Target="https://doi.org/10.1175/MWR-D-18-0171.1" TargetMode="External"/><Relationship Id="rId150" Type="http://schemas.openxmlformats.org/officeDocument/2006/relationships/hyperlink" Target="https://doi.org/10.1175/BAMS-D-15-00139.1" TargetMode="External"/><Relationship Id="rId171" Type="http://schemas.openxmlformats.org/officeDocument/2006/relationships/hyperlink" Target="https://acp.copernicus.org/preprints/acp-2016-881/acp-2016-881-manuscript-version4.pdf" TargetMode="External"/><Relationship Id="rId192" Type="http://schemas.openxmlformats.org/officeDocument/2006/relationships/hyperlink" Target="https://doi.org/10.1175/BAMS-D-14-00287.1" TargetMode="External"/><Relationship Id="rId206" Type="http://schemas.openxmlformats.org/officeDocument/2006/relationships/hyperlink" Target="https://link.springer.com/article/10.1007/s00024-016-1248-5" TargetMode="External"/><Relationship Id="rId227" Type="http://schemas.openxmlformats.org/officeDocument/2006/relationships/hyperlink" Target="https://doi.org/10.1175/JHM-D-14-0158.1" TargetMode="External"/><Relationship Id="rId248" Type="http://schemas.openxmlformats.org/officeDocument/2006/relationships/hyperlink" Target="https://acp.copernicus.org/articles/15/335/2015/acp-15-335-2015.pdf" TargetMode="External"/><Relationship Id="rId12" Type="http://schemas.openxmlformats.org/officeDocument/2006/relationships/hyperlink" Target="https://doi.org/10.1029/2021MS002483" TargetMode="External"/><Relationship Id="rId33" Type="http://schemas.openxmlformats.org/officeDocument/2006/relationships/hyperlink" Target="https://acp.copernicus.org/articles/21/2527/2021/acp-21-2527-2021.html" TargetMode="External"/><Relationship Id="rId108" Type="http://schemas.openxmlformats.org/officeDocument/2006/relationships/hyperlink" Target="https://doi.org/10.1175/MWR-D-17-0277.1" TargetMode="External"/><Relationship Id="rId129" Type="http://schemas.openxmlformats.org/officeDocument/2006/relationships/hyperlink" Target="https://repository.library.noaa.gov/view/noaa/19259" TargetMode="External"/><Relationship Id="rId54" Type="http://schemas.openxmlformats.org/officeDocument/2006/relationships/hyperlink" Target="https://doi.org/10.1175/WAF-D-20-0049.1" TargetMode="External"/><Relationship Id="rId75" Type="http://schemas.openxmlformats.org/officeDocument/2006/relationships/hyperlink" Target="https://www.nature.com/articles/s41598-019-52475-0" TargetMode="External"/><Relationship Id="rId96" Type="http://schemas.openxmlformats.org/officeDocument/2006/relationships/hyperlink" Target="https://doi.org/10.1016/j.future.2019.02.041." TargetMode="External"/><Relationship Id="rId140" Type="http://schemas.openxmlformats.org/officeDocument/2006/relationships/hyperlink" Target="https://doi.org/10.1175/JHM-D-18-0139.1" TargetMode="External"/><Relationship Id="rId161" Type="http://schemas.openxmlformats.org/officeDocument/2006/relationships/hyperlink" Target="https://doi.org/10.1175/WAF-D-16-0118.1" TargetMode="External"/><Relationship Id="rId182" Type="http://schemas.openxmlformats.org/officeDocument/2006/relationships/hyperlink" Target="https://doi.org/10.1175/MWR-D-16-0129.1" TargetMode="External"/><Relationship Id="rId217" Type="http://schemas.openxmlformats.org/officeDocument/2006/relationships/hyperlink" Target="https://doi.org/10.1175/BAMS-D-15-00001.1" TargetMode="External"/><Relationship Id="rId6" Type="http://schemas.openxmlformats.org/officeDocument/2006/relationships/hyperlink" Target="https://doi.org/10.1016/j.coastaleng.2022.104094" TargetMode="External"/><Relationship Id="rId238" Type="http://schemas.openxmlformats.org/officeDocument/2006/relationships/hyperlink" Target="https://doi.org/10.1175/MWR-D-14-00345.1" TargetMode="External"/><Relationship Id="rId259" Type="http://schemas.openxmlformats.org/officeDocument/2006/relationships/hyperlink" Target="https://doi.org/10.1175/MWR-D-14-00102.1" TargetMode="External"/><Relationship Id="rId23" Type="http://schemas.openxmlformats.org/officeDocument/2006/relationships/hyperlink" Target="https://doi.org/10.1175/WAF-D-20-0014.1" TargetMode="External"/><Relationship Id="rId119" Type="http://schemas.openxmlformats.org/officeDocument/2006/relationships/hyperlink" Target="https://rmets.onlinelibrary.wiley.com/doi/pdfdirect/10.1002/qj.3179" TargetMode="External"/><Relationship Id="rId44" Type="http://schemas.openxmlformats.org/officeDocument/2006/relationships/hyperlink" Target="https://doi.org/10.1029/2019JC015822" TargetMode="External"/><Relationship Id="rId65" Type="http://schemas.openxmlformats.org/officeDocument/2006/relationships/hyperlink" Target="https://repository.library.noaa.gov/view/noaa/23441" TargetMode="External"/><Relationship Id="rId86" Type="http://schemas.openxmlformats.org/officeDocument/2006/relationships/hyperlink" Target="https://doi.org/10.1175/MWR-D-18-0057.1" TargetMode="External"/><Relationship Id="rId130" Type="http://schemas.openxmlformats.org/officeDocument/2006/relationships/hyperlink" Target="https://repository.library.noaa.gov/view/noaa/19263" TargetMode="External"/><Relationship Id="rId151" Type="http://schemas.openxmlformats.org/officeDocument/2006/relationships/hyperlink" Target="ftp://ftp.library.noaa.gov/noaa_documents.lib/NWS/NCEP/NCEP_office_notes/NCEP_office_note_490.pdf" TargetMode="External"/><Relationship Id="rId172" Type="http://schemas.openxmlformats.org/officeDocument/2006/relationships/hyperlink" Target="https://www.mdpi.com/2073-4433/8/7/126/pdf" TargetMode="External"/><Relationship Id="rId193" Type="http://schemas.openxmlformats.org/officeDocument/2006/relationships/hyperlink" Target="https://doi.org/10.1175/JHM-D-15-0196.1" TargetMode="External"/><Relationship Id="rId207" Type="http://schemas.openxmlformats.org/officeDocument/2006/relationships/hyperlink" Target="https://doi.org/10.1175/JAS-D-16-0017.1" TargetMode="External"/><Relationship Id="rId228" Type="http://schemas.openxmlformats.org/officeDocument/2006/relationships/hyperlink" Target="https://doi.org/10.1175/WAF-D-15-0002.1" TargetMode="External"/><Relationship Id="rId249" Type="http://schemas.openxmlformats.org/officeDocument/2006/relationships/hyperlink" Target="https://doi.org/10.1002/2015JG003150%20" TargetMode="External"/><Relationship Id="rId13" Type="http://schemas.openxmlformats.org/officeDocument/2006/relationships/hyperlink" Target="https://doi.org/10.1175/BAMS-D-20-0031.1" TargetMode="External"/><Relationship Id="rId109" Type="http://schemas.openxmlformats.org/officeDocument/2006/relationships/hyperlink" Target="https://doi.org/10.1175/BAMS-D-16-0310.1" TargetMode="External"/><Relationship Id="rId260" Type="http://schemas.openxmlformats.org/officeDocument/2006/relationships/hyperlink" Target="https://doi.org/10.1175/MWR-D-14-00339.1" TargetMode="External"/><Relationship Id="rId34" Type="http://schemas.openxmlformats.org/officeDocument/2006/relationships/hyperlink" Target="https://doi.org/10.1016/j.chemosphere.2021.132428" TargetMode="External"/><Relationship Id="rId55" Type="http://schemas.openxmlformats.org/officeDocument/2006/relationships/hyperlink" Target="https://www.mdpi.com/2073-4433/11/9/968/pdf" TargetMode="External"/><Relationship Id="rId76" Type="http://schemas.openxmlformats.org/officeDocument/2006/relationships/hyperlink" Target="https://doi.org/10.1175/WAF-D-19-0028.1" TargetMode="External"/><Relationship Id="rId97" Type="http://schemas.openxmlformats.org/officeDocument/2006/relationships/hyperlink" Target="https://doi.org/10.1175/BAMS-D-18-0270.1" TargetMode="External"/><Relationship Id="rId120" Type="http://schemas.openxmlformats.org/officeDocument/2006/relationships/hyperlink" Target="https://doi.org/10.1016/j.jhydrol.2018.08.025" TargetMode="External"/><Relationship Id="rId141" Type="http://schemas.openxmlformats.org/officeDocument/2006/relationships/hyperlink" Target="https://doi.org/10.1029/2018JD028447" TargetMode="External"/><Relationship Id="rId7" Type="http://schemas.openxmlformats.org/officeDocument/2006/relationships/hyperlink" Target="https://doi.org/10.1175/MWR-D-21-0023.1" TargetMode="External"/><Relationship Id="rId162" Type="http://schemas.openxmlformats.org/officeDocument/2006/relationships/hyperlink" Target="https://doi.org/10.5194/acp-17-13967-2017" TargetMode="External"/><Relationship Id="rId183" Type="http://schemas.openxmlformats.org/officeDocument/2006/relationships/hyperlink" Target="https://doi.org/10.1175/WAF-D-16-0112.1" TargetMode="External"/><Relationship Id="rId218" Type="http://schemas.openxmlformats.org/officeDocument/2006/relationships/hyperlink" Target="https://doi.org/10.1002/2015JD023889" TargetMode="External"/><Relationship Id="rId239" Type="http://schemas.openxmlformats.org/officeDocument/2006/relationships/hyperlink" Target="https://doi.org/10.1175/MWR-D-15-0035.1" TargetMode="External"/><Relationship Id="rId250" Type="http://schemas.openxmlformats.org/officeDocument/2006/relationships/hyperlink" Target="https://doi.org/10.1175/WAF-D-14-00138.1" TargetMode="External"/><Relationship Id="rId24" Type="http://schemas.openxmlformats.org/officeDocument/2006/relationships/hyperlink" Target="https://doi.org/10.1175/WAF-D-20-0044.1" TargetMode="External"/><Relationship Id="rId45" Type="http://schemas.openxmlformats.org/officeDocument/2006/relationships/hyperlink" Target="https://repository.library.noaa.gov/view/noaa/23887" TargetMode="External"/><Relationship Id="rId66" Type="http://schemas.openxmlformats.org/officeDocument/2006/relationships/hyperlink" Target="https://doi.org/10.1175/BAMS-D-19-0183.1" TargetMode="External"/><Relationship Id="rId87" Type="http://schemas.openxmlformats.org/officeDocument/2006/relationships/hyperlink" Target="https://doi.org/10.1175/WAF-D-18-0100.1" TargetMode="External"/><Relationship Id="rId110" Type="http://schemas.openxmlformats.org/officeDocument/2006/relationships/hyperlink" Target="https://doi.org/10.5194/gmd-11-2333-2018" TargetMode="External"/><Relationship Id="rId131" Type="http://schemas.openxmlformats.org/officeDocument/2006/relationships/hyperlink" Target="https://doi.org/10.1175/BAMS-D-17-0001.1" TargetMode="External"/><Relationship Id="rId152" Type="http://schemas.openxmlformats.org/officeDocument/2006/relationships/hyperlink" Target="https://doi.org/10.1175/WAF-D-16-0148.1" TargetMode="External"/><Relationship Id="rId173" Type="http://schemas.openxmlformats.org/officeDocument/2006/relationships/hyperlink" Target="https://doi.org/10.1175/BAMS-D-15-00308.1" TargetMode="External"/><Relationship Id="rId194" Type="http://schemas.openxmlformats.org/officeDocument/2006/relationships/hyperlink" Target="https://doi.org/10.1175/WAF-D-13-00101.1" TargetMode="External"/><Relationship Id="rId208" Type="http://schemas.openxmlformats.org/officeDocument/2006/relationships/hyperlink" Target="ftp://ftp.library.noaa.gov/noaa_documents.lib/NWS/NCEP/NCEP_office_notes/NCEP_office_note_485.pdf" TargetMode="External"/><Relationship Id="rId229" Type="http://schemas.openxmlformats.org/officeDocument/2006/relationships/hyperlink" Target="https://doi.org/10.1175/JCLI-D-14-00170.1" TargetMode="External"/><Relationship Id="rId240" Type="http://schemas.openxmlformats.org/officeDocument/2006/relationships/hyperlink" Target="https://doi.org/10.1175/JTECH-D-15-0028.1" TargetMode="External"/><Relationship Id="rId261" Type="http://schemas.openxmlformats.org/officeDocument/2006/relationships/hyperlink" Target="https://doi.org/10.1002/2015GL066436" TargetMode="External"/><Relationship Id="rId14" Type="http://schemas.openxmlformats.org/officeDocument/2006/relationships/hyperlink" Target="https://doi.org/10.5194/gmd-14-2917-2021" TargetMode="External"/><Relationship Id="rId35" Type="http://schemas.openxmlformats.org/officeDocument/2006/relationships/hyperlink" Target="https://doi.org/10.1175/WAF-D-20-0134.1" TargetMode="External"/><Relationship Id="rId56" Type="http://schemas.openxmlformats.org/officeDocument/2006/relationships/hyperlink" Target="https://doi.org/10.3390/atmos11090888" TargetMode="External"/><Relationship Id="rId77" Type="http://schemas.openxmlformats.org/officeDocument/2006/relationships/hyperlink" Target="https://rmets.onlinelibrary.wiley.com/doi/full/10.1002/joc.6389" TargetMode="External"/><Relationship Id="rId100" Type="http://schemas.openxmlformats.org/officeDocument/2006/relationships/hyperlink" Target="https://doi.org/10.1175/WAF-D-18-0109.1" TargetMode="External"/><Relationship Id="rId8" Type="http://schemas.openxmlformats.org/officeDocument/2006/relationships/hyperlink" Target="https://doi.org/10.1175/MWR-D-20-0405.1" TargetMode="External"/><Relationship Id="rId98" Type="http://schemas.openxmlformats.org/officeDocument/2006/relationships/hyperlink" Target="https://doi.org/10.1175/WAF-D-19-0056.1" TargetMode="External"/><Relationship Id="rId121" Type="http://schemas.openxmlformats.org/officeDocument/2006/relationships/hyperlink" Target="https://doi.org/10.1002/2016RG000549" TargetMode="External"/><Relationship Id="rId142" Type="http://schemas.openxmlformats.org/officeDocument/2006/relationships/hyperlink" Target="https://doi.org/10.1029/2017JD028246" TargetMode="External"/><Relationship Id="rId163" Type="http://schemas.openxmlformats.org/officeDocument/2006/relationships/hyperlink" Target="ftp://ftp.library.noaa.gov/noaa_documents.lib/NWS/NCEP/NCEP_office_notes/NCEP_office_note_488.pdf" TargetMode="External"/><Relationship Id="rId184" Type="http://schemas.openxmlformats.org/officeDocument/2006/relationships/hyperlink" Target="https://doi.org/10.1175/MWR-D-16-0438.1" TargetMode="External"/><Relationship Id="rId219" Type="http://schemas.openxmlformats.org/officeDocument/2006/relationships/hyperlink" Target="https://doi.org/10.1002/2015JD023733" TargetMode="External"/><Relationship Id="rId230" Type="http://schemas.openxmlformats.org/officeDocument/2006/relationships/hyperlink" Target="https://acp.copernicus.org/articles/15/5109/2015/" TargetMode="External"/><Relationship Id="rId251" Type="http://schemas.openxmlformats.org/officeDocument/2006/relationships/hyperlink" Target="https://doi.org/10.1175/JHM-D-14-0096.1" TargetMode="External"/><Relationship Id="rId25" Type="http://schemas.openxmlformats.org/officeDocument/2006/relationships/hyperlink" Target="https://doi.org/10.1029/2020GL090699" TargetMode="External"/><Relationship Id="rId46" Type="http://schemas.openxmlformats.org/officeDocument/2006/relationships/hyperlink" Target="https://doi.org/10.1007/s10236-019-01329-4" TargetMode="External"/><Relationship Id="rId67" Type="http://schemas.openxmlformats.org/officeDocument/2006/relationships/hyperlink" Target="https://doi.org/10.1029/2020WR027556" TargetMode="External"/><Relationship Id="rId88" Type="http://schemas.openxmlformats.org/officeDocument/2006/relationships/hyperlink" Target="https://doi.org/10.1175/WAF-D-18-0146.1" TargetMode="External"/><Relationship Id="rId111" Type="http://schemas.openxmlformats.org/officeDocument/2006/relationships/hyperlink" Target="https://doi.org/10.1007/978-3-642-40457-3_14-1" TargetMode="External"/><Relationship Id="rId132" Type="http://schemas.openxmlformats.org/officeDocument/2006/relationships/hyperlink" Target="https://doi.org/10.5194/essd-10-1093-2018" TargetMode="External"/><Relationship Id="rId153" Type="http://schemas.openxmlformats.org/officeDocument/2006/relationships/hyperlink" Target="https://doi.org/10.1175/WAF-D-16-0189.1" TargetMode="External"/><Relationship Id="rId174" Type="http://schemas.openxmlformats.org/officeDocument/2006/relationships/hyperlink" Target="ftp://ftp.library.noaa.gov/noaa_documents.lib/NWS/NCEP/NCEP_office_notes/NCEP_office_note_486.pdf" TargetMode="External"/><Relationship Id="rId195" Type="http://schemas.openxmlformats.org/officeDocument/2006/relationships/hyperlink" Target="https://doi.org/10.1175/MWR-D-15-0255.1" TargetMode="External"/><Relationship Id="rId209" Type="http://schemas.openxmlformats.org/officeDocument/2006/relationships/hyperlink" Target="https://doi.org/10.1175/WAF-D-16-0111.1" TargetMode="External"/><Relationship Id="rId220" Type="http://schemas.openxmlformats.org/officeDocument/2006/relationships/hyperlink" Target="https://link.springer.com/article/10.1007/s00376-015-5155-y" TargetMode="External"/><Relationship Id="rId241" Type="http://schemas.openxmlformats.org/officeDocument/2006/relationships/hyperlink" Target="https://doi.org/10.1175/JTECH-D-14-00057.1" TargetMode="External"/><Relationship Id="rId15" Type="http://schemas.openxmlformats.org/officeDocument/2006/relationships/hyperlink" Target="http://dx.doi.org/10.1017/exp.2020.66" TargetMode="External"/><Relationship Id="rId36" Type="http://schemas.openxmlformats.org/officeDocument/2006/relationships/hyperlink" Target="https://doi.org/10.1017/jfm.2021.101" TargetMode="External"/><Relationship Id="rId57" Type="http://schemas.openxmlformats.org/officeDocument/2006/relationships/hyperlink" Target="https://doi.org/10.3390/jmse8050308" TargetMode="External"/><Relationship Id="rId262" Type="http://schemas.openxmlformats.org/officeDocument/2006/relationships/hyperlink" Target="https://doi.org/10.1175/MWR-D-14-00235.1" TargetMode="External"/><Relationship Id="rId78" Type="http://schemas.openxmlformats.org/officeDocument/2006/relationships/hyperlink" Target="https://doi.org/10.1175/BAMS-D-18-0324.1" TargetMode="External"/><Relationship Id="rId99" Type="http://schemas.openxmlformats.org/officeDocument/2006/relationships/hyperlink" Target="https://doi.org/10.1175/MWR-D-17-0200.1" TargetMode="External"/><Relationship Id="rId101" Type="http://schemas.openxmlformats.org/officeDocument/2006/relationships/hyperlink" Target="https://doi.org/10.1175/MWR-D-18-0120.1" TargetMode="External"/><Relationship Id="rId122" Type="http://schemas.openxmlformats.org/officeDocument/2006/relationships/hyperlink" Target="https://doi.org/10.1007/s10546-017-0322-6" TargetMode="External"/><Relationship Id="rId143" Type="http://schemas.openxmlformats.org/officeDocument/2006/relationships/hyperlink" Target="https://doi.org/10.1175/WAF-D-17-0097.1" TargetMode="External"/><Relationship Id="rId164" Type="http://schemas.openxmlformats.org/officeDocument/2006/relationships/hyperlink" Target="ftp://ftp.library.noaa.gov/noaa_documents.lib/NWS/NCEP/NCEP_office_notes/NCEP_office_note_487.pdf" TargetMode="External"/><Relationship Id="rId185" Type="http://schemas.openxmlformats.org/officeDocument/2006/relationships/hyperlink" Target="https://doi.org/10.1175/WAF-D-17-0023.1" TargetMode="External"/><Relationship Id="rId9" Type="http://schemas.openxmlformats.org/officeDocument/2006/relationships/hyperlink" Target="https://doi.org/10.1007/s10236-020-01426-9" TargetMode="External"/><Relationship Id="rId210" Type="http://schemas.openxmlformats.org/officeDocument/2006/relationships/hyperlink" Target="https://doi.org/10.3402/tellusa.v68.29029" TargetMode="External"/><Relationship Id="rId26" Type="http://schemas.openxmlformats.org/officeDocument/2006/relationships/hyperlink" Target="https://doi.org/10.1175/JCLI-D-20-0586.1" TargetMode="External"/><Relationship Id="rId231" Type="http://schemas.openxmlformats.org/officeDocument/2006/relationships/hyperlink" Target="https://acp.copernicus.org/articles/15/5109/2015/acp-15-5109-2015.pdf" TargetMode="External"/><Relationship Id="rId252" Type="http://schemas.openxmlformats.org/officeDocument/2006/relationships/hyperlink" Target="https://doi.org/10.1175/JHM-D-14-0097.1" TargetMode="External"/><Relationship Id="rId47" Type="http://schemas.openxmlformats.org/officeDocument/2006/relationships/hyperlink" Target="https://doi.org/10.1016/j.ocemod.2020.101617" TargetMode="External"/><Relationship Id="rId68" Type="http://schemas.openxmlformats.org/officeDocument/2006/relationships/hyperlink" Target="https://www.mdpi.com/2073-4433/11/6/601/pdf" TargetMode="External"/><Relationship Id="rId89" Type="http://schemas.openxmlformats.org/officeDocument/2006/relationships/hyperlink" Target="https://doi.org/10.1007/s00382-018-4347-4" TargetMode="External"/><Relationship Id="rId112" Type="http://schemas.openxmlformats.org/officeDocument/2006/relationships/hyperlink" Target="https://doi.org/10.1175/WAF-D-18-0086.1" TargetMode="External"/><Relationship Id="rId133" Type="http://schemas.openxmlformats.org/officeDocument/2006/relationships/hyperlink" Target="http://dx.doi.org/10.1007/s13351-018-7117-7" TargetMode="External"/><Relationship Id="rId154" Type="http://schemas.openxmlformats.org/officeDocument/2006/relationships/hyperlink" Target="https://doi.org/10.1175/WAF-D-16-0182.1" TargetMode="External"/><Relationship Id="rId175" Type="http://schemas.openxmlformats.org/officeDocument/2006/relationships/hyperlink" Target="ftp://ftp.library.noaa.gov/noaa_documents.lib/NWS/NCEP/NCEP_office_notes/NCEP_office_note_489.pdf" TargetMode="External"/><Relationship Id="rId196" Type="http://schemas.openxmlformats.org/officeDocument/2006/relationships/hyperlink" Target="https://doi.org/10.1175/WAF-D-15-0053.1" TargetMode="External"/><Relationship Id="rId200" Type="http://schemas.openxmlformats.org/officeDocument/2006/relationships/hyperlink" Target="https://doi.org/10.1175/JHM-D-15-0157.1" TargetMode="External"/><Relationship Id="rId16" Type="http://schemas.openxmlformats.org/officeDocument/2006/relationships/hyperlink" Target="https://doi.org/10.1002/esp.5308" TargetMode="External"/><Relationship Id="rId221" Type="http://schemas.openxmlformats.org/officeDocument/2006/relationships/hyperlink" Target="https://doi.org/10.1175/WAF-D-16-0087.1" TargetMode="External"/><Relationship Id="rId242" Type="http://schemas.openxmlformats.org/officeDocument/2006/relationships/hyperlink" Target="https://doi.org/10.1175/EI-D-14-0032.1" TargetMode="External"/><Relationship Id="rId263" Type="http://schemas.openxmlformats.org/officeDocument/2006/relationships/hyperlink" Target="https://doi.org/10.1175/WAF-D-13-00049.1" TargetMode="External"/><Relationship Id="rId37" Type="http://schemas.openxmlformats.org/officeDocument/2006/relationships/hyperlink" Target="https://doi.org/10.1175/WAF-D-21-0062.1" TargetMode="External"/><Relationship Id="rId58" Type="http://schemas.openxmlformats.org/officeDocument/2006/relationships/hyperlink" Target="https://doi.org/10.1175/WAF-D-19-0201.1" TargetMode="External"/><Relationship Id="rId79" Type="http://schemas.openxmlformats.org/officeDocument/2006/relationships/hyperlink" Target="https://doi.org/10.1175/JTECH-D-18-0099.1" TargetMode="External"/><Relationship Id="rId102" Type="http://schemas.openxmlformats.org/officeDocument/2006/relationships/hyperlink" Target="https://doi.org/10.1016/j.jhydrol.2019.124105" TargetMode="External"/><Relationship Id="rId123" Type="http://schemas.openxmlformats.org/officeDocument/2006/relationships/hyperlink" Target="https://doi.org/10.1175/WAF-D-18-0117.1" TargetMode="External"/><Relationship Id="rId144" Type="http://schemas.openxmlformats.org/officeDocument/2006/relationships/hyperlink" Target="https://doi.org/10.1155/2018/7363194" TargetMode="External"/><Relationship Id="rId90" Type="http://schemas.openxmlformats.org/officeDocument/2006/relationships/hyperlink" Target="https://repository.library.noaa.gov/view/noaa/21990" TargetMode="External"/><Relationship Id="rId165" Type="http://schemas.openxmlformats.org/officeDocument/2006/relationships/hyperlink" Target="https://doi.org/10.1002/2017WR020635" TargetMode="External"/><Relationship Id="rId186" Type="http://schemas.openxmlformats.org/officeDocument/2006/relationships/hyperlink" Target="https://doi.org/10.1175/WAF-D-17-0093.1" TargetMode="External"/><Relationship Id="rId211" Type="http://schemas.openxmlformats.org/officeDocument/2006/relationships/hyperlink" Target="https://doi.org/10.1175/WAF-D-15-0074.1" TargetMode="External"/><Relationship Id="rId232" Type="http://schemas.openxmlformats.org/officeDocument/2006/relationships/hyperlink" Target="https://doi.org/10.1007/s11069-014-1362-6" TargetMode="External"/><Relationship Id="rId253" Type="http://schemas.openxmlformats.org/officeDocument/2006/relationships/hyperlink" Target="https://doi.org/10.1175/JAMC-D-14-0275.1" TargetMode="External"/><Relationship Id="rId27" Type="http://schemas.openxmlformats.org/officeDocument/2006/relationships/hyperlink" Target="https://doi.org/10.1029/2020JD033898" TargetMode="External"/><Relationship Id="rId48" Type="http://schemas.openxmlformats.org/officeDocument/2006/relationships/hyperlink" Target="https://doi.org/10.1175/WAF-D-20-0059.1" TargetMode="External"/><Relationship Id="rId69" Type="http://schemas.openxmlformats.org/officeDocument/2006/relationships/hyperlink" Target="https://doi.org/10.1016/j.atmosenv.2020.117648" TargetMode="External"/><Relationship Id="rId113" Type="http://schemas.openxmlformats.org/officeDocument/2006/relationships/hyperlink" Target="https://doi.org/10.1016/j.atmosenv.2018.05.038" TargetMode="External"/><Relationship Id="rId134" Type="http://schemas.openxmlformats.org/officeDocument/2006/relationships/hyperlink" Target="https://d.docs.live.net/ff45fd72ea02cb4c/Documents/.%20https:/doi.org/10.1016/j.advwatres.2017.12.019" TargetMode="External"/><Relationship Id="rId80" Type="http://schemas.openxmlformats.org/officeDocument/2006/relationships/hyperlink" Target="https://www.fs.usda.gov/treesearch/pubs/all/58247" TargetMode="External"/><Relationship Id="rId155" Type="http://schemas.openxmlformats.org/officeDocument/2006/relationships/hyperlink" Target="https://link.springer.com/chapter/10.1007/978-3-319-45229-6_10" TargetMode="External"/><Relationship Id="rId176" Type="http://schemas.openxmlformats.org/officeDocument/2006/relationships/hyperlink" Target="https://doi.org/10.1175/MWR-D-16-0178.1" TargetMode="External"/><Relationship Id="rId197" Type="http://schemas.openxmlformats.org/officeDocument/2006/relationships/hyperlink" Target="https://doi.org/10.1175/JHM-D-15-0171.1" TargetMode="External"/><Relationship Id="rId201" Type="http://schemas.openxmlformats.org/officeDocument/2006/relationships/hyperlink" Target="https://doi.org/10.1175/MWR-D-15-0237.1" TargetMode="External"/><Relationship Id="rId222" Type="http://schemas.openxmlformats.org/officeDocument/2006/relationships/hyperlink" Target="https://doi.org/10.1175/WAF-D-16-0109.1" TargetMode="External"/><Relationship Id="rId243" Type="http://schemas.openxmlformats.org/officeDocument/2006/relationships/hyperlink" Target="https://doi.org/10.1175/WAF-D-14-00049.1" TargetMode="External"/><Relationship Id="rId264" Type="http://schemas.openxmlformats.org/officeDocument/2006/relationships/hyperlink" Target="https://doi.org/10.1007/s13351-015-4108-9" TargetMode="External"/><Relationship Id="rId17" Type="http://schemas.openxmlformats.org/officeDocument/2006/relationships/hyperlink" Target="https://journals.ametsoc.org/search?f_0=author&amp;q_0=Vladimir+Krasnopolsky" TargetMode="External"/><Relationship Id="rId38" Type="http://schemas.openxmlformats.org/officeDocument/2006/relationships/hyperlink" Target="https://doi.org/10.1175/MWR-D-21-0021.1" TargetMode="External"/><Relationship Id="rId59" Type="http://schemas.openxmlformats.org/officeDocument/2006/relationships/hyperlink" Target="https://doi.org/10.5194/gmd-13-2169-2020" TargetMode="External"/><Relationship Id="rId103" Type="http://schemas.openxmlformats.org/officeDocument/2006/relationships/hyperlink" Target="https://journals.ametsoc.org/doi/pdf/10.1175/WAF-D-19-0032.1" TargetMode="External"/><Relationship Id="rId124" Type="http://schemas.openxmlformats.org/officeDocument/2006/relationships/hyperlink" Target="https://doi.org/10.1002/qj.3344" TargetMode="External"/><Relationship Id="rId70" Type="http://schemas.openxmlformats.org/officeDocument/2006/relationships/hyperlink" Target="https://doi.org/10.1175/MWR-D-19-0231.1" TargetMode="External"/><Relationship Id="rId91" Type="http://schemas.openxmlformats.org/officeDocument/2006/relationships/hyperlink" Target="https://doi.org/10.1007/s00382-018-4423-9%20" TargetMode="External"/><Relationship Id="rId145" Type="http://schemas.openxmlformats.org/officeDocument/2006/relationships/hyperlink" Target="https://doi.org/10.1029/2018JD028506" TargetMode="External"/><Relationship Id="rId166" Type="http://schemas.openxmlformats.org/officeDocument/2006/relationships/hyperlink" Target="https://doi.org/10.1175/WAF-D-15-0163.1" TargetMode="External"/><Relationship Id="rId187" Type="http://schemas.openxmlformats.org/officeDocument/2006/relationships/hyperlink" Target="https://upcommons.upc.edu/bitstream/handle/2117/88524/Gas-phase%20chemistry%20in%20the%20online%20multiscale%20NMMB.pdf" TargetMode="External"/><Relationship Id="rId1" Type="http://schemas.openxmlformats.org/officeDocument/2006/relationships/customXml" Target="../customXml/item1.xml"/><Relationship Id="rId212" Type="http://schemas.openxmlformats.org/officeDocument/2006/relationships/hyperlink" Target="https://doi.org/10.5210/ojphi.v8i3.6902" TargetMode="External"/><Relationship Id="rId233" Type="http://schemas.openxmlformats.org/officeDocument/2006/relationships/hyperlink" Target="https://doi.org/10.1002/2015GL065378" TargetMode="External"/><Relationship Id="rId254" Type="http://schemas.openxmlformats.org/officeDocument/2006/relationships/hyperlink" Target="https://doi.org/10.1002/hyp.10190" TargetMode="External"/><Relationship Id="rId28" Type="http://schemas.openxmlformats.org/officeDocument/2006/relationships/hyperlink" Target="https://doi.org/10.1175/WAF-D-20-0162.1" TargetMode="External"/><Relationship Id="rId49" Type="http://schemas.openxmlformats.org/officeDocument/2006/relationships/hyperlink" Target="https://doi.org/10.1002/qj.3730" TargetMode="External"/><Relationship Id="rId114" Type="http://schemas.openxmlformats.org/officeDocument/2006/relationships/hyperlink" Target="https://doi.org/10.1175/BAMS-D-16-0309.1" TargetMode="External"/><Relationship Id="rId60" Type="http://schemas.openxmlformats.org/officeDocument/2006/relationships/hyperlink" Target="https://doi.org/10.1175/WAF-D-19-0056.1" TargetMode="External"/><Relationship Id="rId81" Type="http://schemas.openxmlformats.org/officeDocument/2006/relationships/hyperlink" Target="https://doi.org/10.1029/2019WR025245" TargetMode="External"/><Relationship Id="rId135" Type="http://schemas.openxmlformats.org/officeDocument/2006/relationships/hyperlink" Target="https://doi.org/10.1175/MWR-D-17-0380.1" TargetMode="External"/><Relationship Id="rId156" Type="http://schemas.openxmlformats.org/officeDocument/2006/relationships/hyperlink" Target="https://doi.org/10.5670/oceanog.2017.227" TargetMode="External"/><Relationship Id="rId177" Type="http://schemas.openxmlformats.org/officeDocument/2006/relationships/hyperlink" Target="https://gmd.copernicus.org/articles/10/3207/2017/gmd-10-3207-2017.pdf" TargetMode="External"/><Relationship Id="rId198" Type="http://schemas.openxmlformats.org/officeDocument/2006/relationships/hyperlink" Target="https://doi.org/10.1155/2016/6156513" TargetMode="External"/><Relationship Id="rId202" Type="http://schemas.openxmlformats.org/officeDocument/2006/relationships/hyperlink" Target="https://doi.org/10.1175/WAF-D-16-0003.1" TargetMode="External"/><Relationship Id="rId223" Type="http://schemas.openxmlformats.org/officeDocument/2006/relationships/hyperlink" Target="https://doi.org/10.1175/MWR-D-15-0445.1" TargetMode="External"/><Relationship Id="rId244" Type="http://schemas.openxmlformats.org/officeDocument/2006/relationships/hyperlink" Target="ftp://ftp.library.noaa.gov/noaa_documents.lib/NWS/NCEP/NCEP_office_notes/NCEP_office_note_483.pdf" TargetMode="External"/><Relationship Id="rId18" Type="http://schemas.openxmlformats.org/officeDocument/2006/relationships/hyperlink" Target="https://journals.ametsoc.org/search?f_0=author&amp;q_0=Huug+van+den+Dool" TargetMode="External"/><Relationship Id="rId39" Type="http://schemas.openxmlformats.org/officeDocument/2006/relationships/hyperlink" Target="https://doi.org/10.1029/2021JD034967" TargetMode="External"/><Relationship Id="rId265" Type="http://schemas.openxmlformats.org/officeDocument/2006/relationships/fontTable" Target="fontTable.xml"/><Relationship Id="rId50" Type="http://schemas.openxmlformats.org/officeDocument/2006/relationships/hyperlink" Target="https://doi.org/10.3390/atmos11060617" TargetMode="External"/><Relationship Id="rId104" Type="http://schemas.openxmlformats.org/officeDocument/2006/relationships/hyperlink" Target="https://doi.org/10.1029/2019WR025529" TargetMode="External"/><Relationship Id="rId125" Type="http://schemas.openxmlformats.org/officeDocument/2006/relationships/hyperlink" Target="https://doi.org/10.1029/2018GL079019" TargetMode="External"/><Relationship Id="rId146" Type="http://schemas.openxmlformats.org/officeDocument/2006/relationships/hyperlink" Target="https://doi.org/10.1002/2017JC013054" TargetMode="External"/><Relationship Id="rId167" Type="http://schemas.openxmlformats.org/officeDocument/2006/relationships/hyperlink" Target="https://doi.org/10.1016/j.enbuild.2017.02.024" TargetMode="External"/><Relationship Id="rId188" Type="http://schemas.openxmlformats.org/officeDocument/2006/relationships/hyperlink" Target="https://doi.org/10.1175/MWR-D-15-0242.1" TargetMode="External"/><Relationship Id="rId71" Type="http://schemas.openxmlformats.org/officeDocument/2006/relationships/hyperlink" Target="https://doi.org/10.1175/BAMS-D-18-0257.1" TargetMode="External"/><Relationship Id="rId92" Type="http://schemas.openxmlformats.org/officeDocument/2006/relationships/hyperlink" Target="https://doi.org/10.1175/WAF-D-18-0072.1" TargetMode="External"/><Relationship Id="rId213" Type="http://schemas.openxmlformats.org/officeDocument/2006/relationships/hyperlink" Target="https://doi.org/10.1175/BAMS-D-13-00245.1" TargetMode="External"/><Relationship Id="rId234" Type="http://schemas.openxmlformats.org/officeDocument/2006/relationships/hyperlink" Target="https://doi.org/10.1175/WAF-D-14-00098.1" TargetMode="External"/><Relationship Id="rId2" Type="http://schemas.openxmlformats.org/officeDocument/2006/relationships/numbering" Target="numbering.xml"/><Relationship Id="rId29" Type="http://schemas.openxmlformats.org/officeDocument/2006/relationships/hyperlink" Target="https://doi.org/10.1175/BAMS-D-20-0087.1" TargetMode="External"/><Relationship Id="rId255" Type="http://schemas.openxmlformats.org/officeDocument/2006/relationships/hyperlink" Target="https://doi.org/10.1002/hyp.10299" TargetMode="External"/><Relationship Id="rId40" Type="http://schemas.openxmlformats.org/officeDocument/2006/relationships/hyperlink" Target="https://doi.org/10.1175/BAMS-D-19-0287.1" TargetMode="External"/><Relationship Id="rId115" Type="http://schemas.openxmlformats.org/officeDocument/2006/relationships/hyperlink" Target="https://doi.org/10.1029/2018GL077193" TargetMode="External"/><Relationship Id="rId136" Type="http://schemas.openxmlformats.org/officeDocument/2006/relationships/hyperlink" Target="https://doi.org/10.1002/2017JD027410" TargetMode="External"/><Relationship Id="rId157" Type="http://schemas.openxmlformats.org/officeDocument/2006/relationships/hyperlink" Target="https://doi.org/10.1175/WAF-D-16-0123.1" TargetMode="External"/><Relationship Id="rId178" Type="http://schemas.openxmlformats.org/officeDocument/2006/relationships/hyperlink" Target="https://link.springer.com/article/10.1007/s00703-017-0576-z" TargetMode="External"/><Relationship Id="rId61" Type="http://schemas.openxmlformats.org/officeDocument/2006/relationships/hyperlink" Target="https://doi.org/10.1175/MWR-D-19-0389.1" TargetMode="External"/><Relationship Id="rId82" Type="http://schemas.openxmlformats.org/officeDocument/2006/relationships/hyperlink" Target="https://doi.org/10.1029/2019GL082236" TargetMode="External"/><Relationship Id="rId199" Type="http://schemas.openxmlformats.org/officeDocument/2006/relationships/hyperlink" Target="https://doi.org/10.1175/JAS-D-16-0015.1" TargetMode="External"/><Relationship Id="rId203" Type="http://schemas.openxmlformats.org/officeDocument/2006/relationships/hyperlink" Target="https://gmd.copernicus.org/articles/9/1905/2016/gmd-9-1905-2016.pdf" TargetMode="External"/><Relationship Id="rId19" Type="http://schemas.openxmlformats.org/officeDocument/2006/relationships/hyperlink" Target="https://journals.ametsoc.org/view/journals/wefo/aop/WAF-D-20-0014.1/WAF-D-20-0014.1.xml" TargetMode="External"/><Relationship Id="rId224" Type="http://schemas.openxmlformats.org/officeDocument/2006/relationships/hyperlink" Target="https://doi.org/10.1175/MWR-D-14-00143.1" TargetMode="External"/><Relationship Id="rId245" Type="http://schemas.openxmlformats.org/officeDocument/2006/relationships/hyperlink" Target="http://www.lib.ncep.noaa.gov/ncepofficenotes/files/NCEP_Office_Note_481.pdf" TargetMode="External"/><Relationship Id="rId266" Type="http://schemas.openxmlformats.org/officeDocument/2006/relationships/theme" Target="theme/theme1.xml"/><Relationship Id="rId30" Type="http://schemas.openxmlformats.org/officeDocument/2006/relationships/hyperlink" Target="https://doi.org/10.1175/BAMS-D-19-0297.1" TargetMode="External"/><Relationship Id="rId105" Type="http://schemas.openxmlformats.org/officeDocument/2006/relationships/hyperlink" Target="https://doi.org/10.1175/WAF-D-19-0047.1" TargetMode="External"/><Relationship Id="rId126" Type="http://schemas.openxmlformats.org/officeDocument/2006/relationships/hyperlink" Target="https://doi.org/10.1175/JAS-D-17-0171.1" TargetMode="External"/><Relationship Id="rId147" Type="http://schemas.openxmlformats.org/officeDocument/2006/relationships/hyperlink" Target="ftp://ftp.library.noaa.gov/noaa_documents.lib/NWS/NCEP/NCEP_office_notes/NCEP_office_note_491.pdf" TargetMode="External"/><Relationship Id="rId168" Type="http://schemas.openxmlformats.org/officeDocument/2006/relationships/hyperlink" Target="https://doi.org/10.1175/MWR-D-17-0068.1" TargetMode="External"/><Relationship Id="rId51" Type="http://schemas.openxmlformats.org/officeDocument/2006/relationships/hyperlink" Target="https://doi.org/10.1016/j.jhydrol.2019.124410" TargetMode="External"/><Relationship Id="rId72" Type="http://schemas.openxmlformats.org/officeDocument/2006/relationships/hyperlink" Target="https://repository.library.noaa.gov/view/noaa/23885" TargetMode="External"/><Relationship Id="rId93" Type="http://schemas.openxmlformats.org/officeDocument/2006/relationships/hyperlink" Target="https://doi.org/10.1175/MWR-D-18-0411.1" TargetMode="External"/><Relationship Id="rId189" Type="http://schemas.openxmlformats.org/officeDocument/2006/relationships/hyperlink" Target="https://doi.org/10.1175/WAF-D-15-0087.1" TargetMode="External"/><Relationship Id="rId3" Type="http://schemas.openxmlformats.org/officeDocument/2006/relationships/styles" Target="styles.xml"/><Relationship Id="rId214" Type="http://schemas.openxmlformats.org/officeDocument/2006/relationships/hyperlink" Target="https://doi.org/10.5822/978-94-024-0896-6_3" TargetMode="External"/><Relationship Id="rId235" Type="http://schemas.openxmlformats.org/officeDocument/2006/relationships/hyperlink" Target="https://doi.org/10.1175/WAF-D-14-00126.1" TargetMode="External"/><Relationship Id="rId256" Type="http://schemas.openxmlformats.org/officeDocument/2006/relationships/hyperlink" Target="https://doi.org/10.1175/JTECH-D-14-00063.1" TargetMode="External"/><Relationship Id="rId116" Type="http://schemas.openxmlformats.org/officeDocument/2006/relationships/hyperlink" Target="https://link.springer.com/article/10.1007/s00024-018-1975-x" TargetMode="External"/><Relationship Id="rId137" Type="http://schemas.openxmlformats.org/officeDocument/2006/relationships/hyperlink" Target="https://doi.org/10.1175/MWR-D-17-0223.1" TargetMode="External"/><Relationship Id="rId158" Type="http://schemas.openxmlformats.org/officeDocument/2006/relationships/hyperlink" Target="https://doi.org/10.1002/2017JC012760" TargetMode="External"/><Relationship Id="rId20" Type="http://schemas.openxmlformats.org/officeDocument/2006/relationships/hyperlink" Target="https://journals.ametsoc.org/search?f_0=author&amp;q_0=Chung-Yu+Wu" TargetMode="External"/><Relationship Id="rId41" Type="http://schemas.openxmlformats.org/officeDocument/2006/relationships/hyperlink" Target="https://doi.org/10.1029/2021JD034983" TargetMode="External"/><Relationship Id="rId62" Type="http://schemas.openxmlformats.org/officeDocument/2006/relationships/hyperlink" Target="https://repository.library.noaa.gov/view/noaa/23195" TargetMode="External"/><Relationship Id="rId83" Type="http://schemas.openxmlformats.org/officeDocument/2006/relationships/hyperlink" Target="https://doi.org/10.3389/fmars.2019.00446" TargetMode="External"/><Relationship Id="rId179" Type="http://schemas.openxmlformats.org/officeDocument/2006/relationships/hyperlink" Target="https://doi.org/10.5194/hess-21-3557-2017" TargetMode="External"/><Relationship Id="rId190" Type="http://schemas.openxmlformats.org/officeDocument/2006/relationships/hyperlink" Target="https://doi.org/10.1175/JTECH-D-16-0012.1" TargetMode="External"/><Relationship Id="rId204" Type="http://schemas.openxmlformats.org/officeDocument/2006/relationships/hyperlink" Target="https://agupubs.onlinelibrary.wiley.com/doi/pdf/10.1002/2015JC011340" TargetMode="External"/><Relationship Id="rId225" Type="http://schemas.openxmlformats.org/officeDocument/2006/relationships/hyperlink" Target="https://repository.library.noaa.gov/view/noaa/15129/noaa_15129_DS1.pdf" TargetMode="External"/><Relationship Id="rId246" Type="http://schemas.openxmlformats.org/officeDocument/2006/relationships/hyperlink" Target="ftp://ftp.library.noaa.gov/noaa_documents.lib/NWS/NCEP/NCEP_office_notes/NCEP_office_note_482.pdf" TargetMode="External"/><Relationship Id="rId106" Type="http://schemas.openxmlformats.org/officeDocument/2006/relationships/hyperlink" Target="https://doi.org/10.1175/MWR-D-18-0228.1" TargetMode="External"/><Relationship Id="rId127" Type="http://schemas.openxmlformats.org/officeDocument/2006/relationships/hyperlink" Target="https://doi.org/10.1007/s00382-017-3950-0" TargetMode="External"/><Relationship Id="rId10" Type="http://schemas.openxmlformats.org/officeDocument/2006/relationships/hyperlink" Target="https://rdcu.be/cdfjB" TargetMode="External"/><Relationship Id="rId31" Type="http://schemas.openxmlformats.org/officeDocument/2006/relationships/hyperlink" Target="https://doi.org/10.1016/j.atmosres.2021.105804" TargetMode="External"/><Relationship Id="rId52" Type="http://schemas.openxmlformats.org/officeDocument/2006/relationships/hyperlink" Target="https://doi.org/10.3390/rs12050878" TargetMode="External"/><Relationship Id="rId73" Type="http://schemas.openxmlformats.org/officeDocument/2006/relationships/hyperlink" Target="https://doi.org/10.1016/j.agrformet.2019.107810" TargetMode="External"/><Relationship Id="rId94" Type="http://schemas.openxmlformats.org/officeDocument/2006/relationships/hyperlink" Target="https://www.sciencedirect.com/science/article/pii/S2468502X19300464?via%3Dihub" TargetMode="External"/><Relationship Id="rId148" Type="http://schemas.openxmlformats.org/officeDocument/2006/relationships/hyperlink" Target="https://doi.org/10.5194/gmd-10-609-2017" TargetMode="External"/><Relationship Id="rId169" Type="http://schemas.openxmlformats.org/officeDocument/2006/relationships/hyperlink" Target="https://doi.org/10.1175/BAMS-D-15-00235.1" TargetMode="External"/><Relationship Id="rId4" Type="http://schemas.openxmlformats.org/officeDocument/2006/relationships/settings" Target="settings.xml"/><Relationship Id="rId180" Type="http://schemas.openxmlformats.org/officeDocument/2006/relationships/hyperlink" Target="https://doi.org/10.1175/WAF-D-16-0045.1" TargetMode="External"/><Relationship Id="rId215" Type="http://schemas.openxmlformats.org/officeDocument/2006/relationships/hyperlink" Target="https://doi.org/10.1175/WAF-D-14-00139.1" TargetMode="External"/><Relationship Id="rId236" Type="http://schemas.openxmlformats.org/officeDocument/2006/relationships/hyperlink" Target="https://doi.org/10.1175/WAF-D-14-00073.1" TargetMode="External"/><Relationship Id="rId257" Type="http://schemas.openxmlformats.org/officeDocument/2006/relationships/hyperlink" Target="https://doi.org/10.1175/JHM-D-14-0056.1" TargetMode="External"/><Relationship Id="rId42" Type="http://schemas.openxmlformats.org/officeDocument/2006/relationships/hyperlink" Target="https://doi.org/10.1016/j.coastaleng.2020.103656" TargetMode="External"/><Relationship Id="rId84" Type="http://schemas.openxmlformats.org/officeDocument/2006/relationships/hyperlink" Target="https://doi.org/10.1175/WAF-D-18-0114.1" TargetMode="External"/><Relationship Id="rId138" Type="http://schemas.openxmlformats.org/officeDocument/2006/relationships/hyperlink" Target="https://doi.org/10.5194/gmd-11-2315-2018" TargetMode="External"/><Relationship Id="rId191" Type="http://schemas.openxmlformats.org/officeDocument/2006/relationships/hyperlink" Target="https://doi.org/10.1175/BAMS-D-14-00188.1" TargetMode="External"/><Relationship Id="rId205" Type="http://schemas.openxmlformats.org/officeDocument/2006/relationships/hyperlink" Target="https://doi.org/10.1175/JHM-D-15-0063.1" TargetMode="External"/><Relationship Id="rId247" Type="http://schemas.openxmlformats.org/officeDocument/2006/relationships/hyperlink" Target="https://doi.org/10.1175/WAF-D-14-001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45BE0-DEB9-42CC-8C93-CD5C60C5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14057</Words>
  <Characters>80126</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38</cp:revision>
  <cp:lastPrinted>2021-12-20T22:43:00Z</cp:lastPrinted>
  <dcterms:created xsi:type="dcterms:W3CDTF">2021-03-15T13:43:00Z</dcterms:created>
  <dcterms:modified xsi:type="dcterms:W3CDTF">2022-02-25T21:28:00Z</dcterms:modified>
</cp:coreProperties>
</file>