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Analysis of Proportion Estimation Accuracy</w:t>
      </w:r>
    </w:p>
    <w:p>
      <w:pPr>
        <w:pStyle w:val="ReportSubtitle"/>
      </w:pPr>
      <w:r>
        <w:t>Synthesis of Codes A–E: factorial MANOVA, univariate ANOVA, mixed effects, pairwise efficiency, and nonlinear simplex diagnostics</w:t>
      </w:r>
    </w:p>
    <w:p>
      <w:pPr>
        <w:pStyle w:val="ReportSubtitle"/>
      </w:pPr>
      <w:r>
        <w:t>Comparative assessment of methods i, ii, iii, iv, and v using RMSE, L1, and L-infinity error</w:t>
      </w:r>
    </w:p>
    <w:p>
      <w:pPr>
        <w:pStyle w:val="Heading1"/>
      </w:pPr>
      <w:r>
        <w:t>Purpose and principal conclusion</w:t>
      </w:r>
    </w:p>
    <w:p>
      <w:r>
        <w:t>This memorandum integrates five complementary analyses of compositional likelihood estimation accuracy. The evidence supports method v as the strongest general-purpose estimator, method iii as a practically close second, method iv as a stable middle performer, method i as a conditionally excellent but less uniformly ranked alternative, and method ii as the least accurate method. This ordering is deliberately qualified: Codes A and B place i and v in the leading statistical group at their specified reference conditions, whereas the matched global comparisons in Code C and the nonlinear surface analysis in Code E favor v and iii over the broader design. The most defensible general ranking is therefore v &gt; iii &gt; iv &gt; i &gt; ii, while method i remains an important specialist when resistance to increasing sigma or squared-error performance at the modeled reference condition is the priority.</w:t>
      </w:r>
    </w:p>
    <w:p>
      <w:pPr>
        <w:pStyle w:val="Heading2"/>
      </w:pPr>
      <w:r>
        <w:t>Executive synthesis</w:t>
      </w:r>
    </w:p>
    <w:p>
      <w:pPr>
        <w:pStyle w:val="ListBullet"/>
        <w:spacing w:after="60"/>
      </w:pPr>
      <w:r>
        <w:t>Method differences are statistically decisive in every framework, but G and sigma usually influence error much more strongly than method choice. Mean sample size is the next most important design factor.</w:t>
      </w:r>
    </w:p>
    <w:p>
      <w:pPr>
        <w:pStyle w:val="ListBullet"/>
        <w:spacing w:after="60"/>
      </w:pPr>
      <w:r>
        <w:t>Method v is never meaningfully displaced from the leading group. It is best in the global matched log-ratio analysis, best for L1 and usually Linf in Code E, and tied with i in the factorial and mixed-model reference comparisons.</w:t>
      </w:r>
    </w:p>
    <w:p>
      <w:pPr>
        <w:pStyle w:val="ListBullet"/>
        <w:spacing w:after="60"/>
      </w:pPr>
      <w:r>
        <w:t>Method iii is the strongest broad alternative to v. Code C estimates only a 0.11–0.16% disadvantage relative to v, and Code E gives iii the lowest adjusted RMSE. Its lower rank in Codes A and B is conditional on those models’ reference settings.</w:t>
      </w:r>
    </w:p>
    <w:p>
      <w:pPr>
        <w:pStyle w:val="ListBullet"/>
        <w:spacing w:after="60"/>
      </w:pPr>
      <w:r>
        <w:t>Method i has the clearest sigma robustness and is the best RMSE method in Code B, but its global matched performance and simplex-surface behavior are less favorable than those of v and iii.</w:t>
      </w:r>
    </w:p>
    <w:p>
      <w:pPr>
        <w:pStyle w:val="ListBullet"/>
        <w:spacing w:after="60"/>
      </w:pPr>
      <w:r>
        <w:t>Method ii is last under every metric and every principal comparison. It improves strongly with larger G and higher theta_true, but deteriorates most as sigma rises and never receives general support as a preferred estimator.</w:t>
      </w:r>
    </w:p>
    <w:p>
      <w:pPr>
        <w:pStyle w:val="ListBullet"/>
        <w:spacing w:after="60"/>
      </w:pPr>
      <w:r>
        <w:t>The p1–p2 composition geometry matters nonlinearly even though linear p1 and p2 terms are negligible. Method separation is greatest near sparse simplex boundaries, especially for L1.</w:t>
      </w:r>
    </w:p>
    <w:p>
      <w:pPr>
        <w:pStyle w:val="Heading2"/>
      </w:pPr>
      <w:r>
        <w:t>Integrated ranking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792"/>
            <w:shd w:fill="1F4E78"/>
            <w:tcMar>
              <w:top w:w="80" w:type="dxa"/>
              <w:start w:w="90" w:type="dxa"/>
              <w:bottom w:w="80" w:type="dxa"/>
              <w:end w:w="90" w:type="dxa"/>
            </w:tcMar>
            <w:vAlign w:val="center"/>
          </w:tcPr>
          <w:p>
            <w:pPr>
              <w:keepLines/>
              <w:jc w:val="center"/>
            </w:pPr>
            <w:r>
              <w:rPr>
                <w:rFonts w:ascii="Aptos" w:hAnsi="Aptos"/>
                <w:b/>
                <w:color w:val="FFFFFF"/>
                <w:sz w:val="16"/>
              </w:rPr>
              <w:t>Rank</w:t>
            </w:r>
          </w:p>
        </w:tc>
        <w:tc>
          <w:tcPr>
            <w:tcW w:type="dxa" w:w="936"/>
            <w:shd w:fill="1F4E78"/>
            <w:tcMar>
              <w:top w:w="80" w:type="dxa"/>
              <w:start w:w="90" w:type="dxa"/>
              <w:bottom w:w="80" w:type="dxa"/>
              <w:end w:w="90" w:type="dxa"/>
            </w:tcMar>
            <w:vAlign w:val="center"/>
          </w:tcPr>
          <w:p>
            <w:pPr>
              <w:keepLines/>
              <w:jc w:val="center"/>
            </w:pPr>
            <w:r>
              <w:rPr>
                <w:rFonts w:ascii="Aptos" w:hAnsi="Aptos"/>
                <w:b/>
                <w:color w:val="FFFFFF"/>
                <w:sz w:val="16"/>
              </w:rPr>
              <w:t>Method</w:t>
            </w:r>
          </w:p>
        </w:tc>
        <w:tc>
          <w:tcPr>
            <w:tcW w:type="dxa" w:w="3672"/>
            <w:shd w:fill="1F4E78"/>
            <w:tcMar>
              <w:top w:w="80" w:type="dxa"/>
              <w:start w:w="90" w:type="dxa"/>
              <w:bottom w:w="80" w:type="dxa"/>
              <w:end w:w="90" w:type="dxa"/>
            </w:tcMar>
            <w:vAlign w:val="center"/>
          </w:tcPr>
          <w:p>
            <w:pPr>
              <w:keepLines/>
              <w:jc w:val="center"/>
            </w:pPr>
            <w:r>
              <w:rPr>
                <w:rFonts w:ascii="Aptos" w:hAnsi="Aptos"/>
                <w:b/>
                <w:color w:val="FFFFFF"/>
                <w:sz w:val="16"/>
              </w:rPr>
              <w:t>Integrated assessment</w:t>
            </w:r>
          </w:p>
        </w:tc>
        <w:tc>
          <w:tcPr>
            <w:tcW w:type="dxa" w:w="4320"/>
            <w:shd w:fill="1F4E78"/>
            <w:tcMar>
              <w:top w:w="80" w:type="dxa"/>
              <w:start w:w="90" w:type="dxa"/>
              <w:bottom w:w="80" w:type="dxa"/>
              <w:end w:w="90" w:type="dxa"/>
            </w:tcMar>
            <w:vAlign w:val="center"/>
          </w:tcPr>
          <w:p>
            <w:pPr>
              <w:keepLines/>
              <w:jc w:val="center"/>
            </w:pPr>
            <w:r>
              <w:rPr>
                <w:rFonts w:ascii="Aptos" w:hAnsi="Aptos"/>
                <w:b/>
                <w:color w:val="FFFFFF"/>
                <w:sz w:val="16"/>
              </w:rPr>
              <w:t>Primary evidence</w:t>
            </w:r>
          </w:p>
        </w:tc>
      </w:tr>
      <w:tr>
        <w:trPr>
          <w:cantSplit/>
        </w:trPr>
        <w:tc>
          <w:tcPr>
            <w:tcW w:type="dxa" w:w="792"/>
            <w:tcMar>
              <w:top w:w="80" w:type="dxa"/>
              <w:start w:w="90" w:type="dxa"/>
              <w:bottom w:w="80" w:type="dxa"/>
              <w:end w:w="90" w:type="dxa"/>
            </w:tcMar>
            <w:vAlign w:val="center"/>
          </w:tcPr>
          <w:p>
            <w:pPr>
              <w:keepLines/>
              <w:spacing w:after="0" w:line="240" w:lineRule="auto"/>
              <w:jc w:val="center"/>
            </w:pPr>
            <w:r>
              <w:rPr>
                <w:rFonts w:ascii="Aptos" w:hAnsi="Aptos"/>
                <w:sz w:val="16"/>
              </w:rPr>
              <w:t>1</w:t>
            </w:r>
          </w:p>
        </w:tc>
        <w:tc>
          <w:tcPr>
            <w:tcW w:type="dxa" w:w="936"/>
            <w:tcMar>
              <w:top w:w="80" w:type="dxa"/>
              <w:start w:w="90" w:type="dxa"/>
              <w:bottom w:w="80" w:type="dxa"/>
              <w:end w:w="90" w:type="dxa"/>
            </w:tcMar>
            <w:vAlign w:val="center"/>
          </w:tcPr>
          <w:p>
            <w:pPr>
              <w:keepLines/>
              <w:spacing w:after="0" w:line="240" w:lineRule="auto"/>
              <w:jc w:val="center"/>
            </w:pPr>
            <w:r>
              <w:rPr>
                <w:rFonts w:ascii="Aptos" w:hAnsi="Aptos"/>
                <w:sz w:val="16"/>
              </w:rPr>
              <w:t>v</w:t>
            </w:r>
          </w:p>
        </w:tc>
        <w:tc>
          <w:tcPr>
            <w:tcW w:type="dxa" w:w="3672"/>
            <w:tcMar>
              <w:top w:w="80" w:type="dxa"/>
              <w:start w:w="90" w:type="dxa"/>
              <w:bottom w:w="80" w:type="dxa"/>
              <w:end w:w="90" w:type="dxa"/>
            </w:tcMar>
            <w:vAlign w:val="center"/>
          </w:tcPr>
          <w:p>
            <w:pPr>
              <w:keepLines/>
              <w:spacing w:after="0" w:line="240" w:lineRule="auto"/>
              <w:jc w:val="left"/>
            </w:pPr>
            <w:r>
              <w:rPr>
                <w:rFonts w:ascii="Aptos" w:hAnsi="Aptos"/>
                <w:sz w:val="16"/>
              </w:rPr>
              <w:t>Best general default; leading or tied across all frameworks</w:t>
            </w:r>
          </w:p>
        </w:tc>
        <w:tc>
          <w:tcPr>
            <w:tcW w:type="dxa" w:w="4320"/>
            <w:tcMar>
              <w:top w:w="80" w:type="dxa"/>
              <w:start w:w="90" w:type="dxa"/>
              <w:bottom w:w="80" w:type="dxa"/>
              <w:end w:w="90" w:type="dxa"/>
            </w:tcMar>
            <w:vAlign w:val="center"/>
          </w:tcPr>
          <w:p>
            <w:pPr>
              <w:keepLines/>
              <w:spacing w:after="0" w:line="240" w:lineRule="auto"/>
              <w:jc w:val="left"/>
            </w:pPr>
            <w:r>
              <w:rPr>
                <w:rFonts w:ascii="Aptos" w:hAnsi="Aptos"/>
                <w:sz w:val="16"/>
              </w:rPr>
              <w:t>Global leader in Code C; lowest L1 and Linf in Code E; tied with i in A and B</w:t>
            </w:r>
          </w:p>
        </w:tc>
      </w:tr>
      <w:tr>
        <w:trPr>
          <w:cantSplit/>
        </w:trPr>
        <w:tc>
          <w:tcPr>
            <w:tcW w:type="dxa" w:w="792"/>
            <w:shd w:fill="F2F6FA"/>
            <w:tcMar>
              <w:top w:w="80" w:type="dxa"/>
              <w:start w:w="90" w:type="dxa"/>
              <w:bottom w:w="80" w:type="dxa"/>
              <w:end w:w="90" w:type="dxa"/>
            </w:tcMar>
            <w:vAlign w:val="center"/>
          </w:tcPr>
          <w:p>
            <w:pPr>
              <w:keepLines/>
              <w:spacing w:after="0" w:line="240" w:lineRule="auto"/>
              <w:jc w:val="center"/>
            </w:pPr>
            <w:r>
              <w:rPr>
                <w:rFonts w:ascii="Aptos" w:hAnsi="Aptos"/>
                <w:sz w:val="16"/>
              </w:rPr>
              <w:t>2</w:t>
            </w:r>
          </w:p>
        </w:tc>
        <w:tc>
          <w:tcPr>
            <w:tcW w:type="dxa" w:w="936"/>
            <w:shd w:fill="F2F6FA"/>
            <w:tcMar>
              <w:top w:w="80" w:type="dxa"/>
              <w:start w:w="90" w:type="dxa"/>
              <w:bottom w:w="80" w:type="dxa"/>
              <w:end w:w="90" w:type="dxa"/>
            </w:tcMar>
            <w:vAlign w:val="center"/>
          </w:tcPr>
          <w:p>
            <w:pPr>
              <w:keepLines/>
              <w:spacing w:after="0" w:line="240" w:lineRule="auto"/>
              <w:jc w:val="center"/>
            </w:pPr>
            <w:r>
              <w:rPr>
                <w:rFonts w:ascii="Aptos" w:hAnsi="Aptos"/>
                <w:sz w:val="16"/>
              </w:rPr>
              <w:t>iii</w:t>
            </w:r>
          </w:p>
        </w:tc>
        <w:tc>
          <w:tcPr>
            <w:tcW w:type="dxa" w:w="3672"/>
            <w:shd w:fill="F2F6FA"/>
            <w:tcMar>
              <w:top w:w="80" w:type="dxa"/>
              <w:start w:w="90" w:type="dxa"/>
              <w:bottom w:w="80" w:type="dxa"/>
              <w:end w:w="90" w:type="dxa"/>
            </w:tcMar>
            <w:vAlign w:val="center"/>
          </w:tcPr>
          <w:p>
            <w:pPr>
              <w:keepLines/>
              <w:spacing w:after="0" w:line="240" w:lineRule="auto"/>
              <w:jc w:val="left"/>
            </w:pPr>
            <w:r>
              <w:rPr>
                <w:rFonts w:ascii="Aptos" w:hAnsi="Aptos"/>
                <w:sz w:val="16"/>
              </w:rPr>
              <w:t>Near-equivalent broad alternative; particularly strong for RMSE</w:t>
            </w:r>
          </w:p>
        </w:tc>
        <w:tc>
          <w:tcPr>
            <w:tcW w:type="dxa" w:w="4320"/>
            <w:shd w:fill="F2F6FA"/>
            <w:tcMar>
              <w:top w:w="80" w:type="dxa"/>
              <w:start w:w="90" w:type="dxa"/>
              <w:bottom w:w="80" w:type="dxa"/>
              <w:end w:w="90" w:type="dxa"/>
            </w:tcMar>
            <w:vAlign w:val="center"/>
          </w:tcPr>
          <w:p>
            <w:pPr>
              <w:keepLines/>
              <w:spacing w:after="0" w:line="240" w:lineRule="auto"/>
              <w:jc w:val="left"/>
            </w:pPr>
            <w:r>
              <w:rPr>
                <w:rFonts w:ascii="Aptos" w:hAnsi="Aptos"/>
                <w:sz w:val="16"/>
              </w:rPr>
              <w:t>Only 0.11–0.16% behind v in Code C; lowest adjusted RMSE in E</w:t>
            </w:r>
          </w:p>
        </w:tc>
      </w:tr>
      <w:tr>
        <w:trPr>
          <w:cantSplit/>
        </w:trPr>
        <w:tc>
          <w:tcPr>
            <w:tcW w:type="dxa" w:w="792"/>
            <w:tcMar>
              <w:top w:w="80" w:type="dxa"/>
              <w:start w:w="90" w:type="dxa"/>
              <w:bottom w:w="80" w:type="dxa"/>
              <w:end w:w="90" w:type="dxa"/>
            </w:tcMar>
            <w:vAlign w:val="center"/>
          </w:tcPr>
          <w:p>
            <w:pPr>
              <w:keepLines/>
              <w:spacing w:after="0" w:line="240" w:lineRule="auto"/>
              <w:jc w:val="center"/>
            </w:pPr>
            <w:r>
              <w:rPr>
                <w:rFonts w:ascii="Aptos" w:hAnsi="Aptos"/>
                <w:sz w:val="16"/>
              </w:rPr>
              <w:t>3</w:t>
            </w:r>
          </w:p>
        </w:tc>
        <w:tc>
          <w:tcPr>
            <w:tcW w:type="dxa" w:w="936"/>
            <w:tcMar>
              <w:top w:w="80" w:type="dxa"/>
              <w:start w:w="90" w:type="dxa"/>
              <w:bottom w:w="80" w:type="dxa"/>
              <w:end w:w="90" w:type="dxa"/>
            </w:tcMar>
            <w:vAlign w:val="center"/>
          </w:tcPr>
          <w:p>
            <w:pPr>
              <w:keepLines/>
              <w:spacing w:after="0" w:line="240" w:lineRule="auto"/>
              <w:jc w:val="center"/>
            </w:pPr>
            <w:r>
              <w:rPr>
                <w:rFonts w:ascii="Aptos" w:hAnsi="Aptos"/>
                <w:sz w:val="16"/>
              </w:rPr>
              <w:t>iv</w:t>
            </w:r>
          </w:p>
        </w:tc>
        <w:tc>
          <w:tcPr>
            <w:tcW w:type="dxa" w:w="3672"/>
            <w:tcMar>
              <w:top w:w="80" w:type="dxa"/>
              <w:start w:w="90" w:type="dxa"/>
              <w:bottom w:w="80" w:type="dxa"/>
              <w:end w:w="90" w:type="dxa"/>
            </w:tcMar>
            <w:vAlign w:val="center"/>
          </w:tcPr>
          <w:p>
            <w:pPr>
              <w:keepLines/>
              <w:spacing w:after="0" w:line="240" w:lineRule="auto"/>
              <w:jc w:val="left"/>
            </w:pPr>
            <w:r>
              <w:rPr>
                <w:rFonts w:ascii="Aptos" w:hAnsi="Aptos"/>
                <w:sz w:val="16"/>
              </w:rPr>
              <w:t>Stable middle performer with no major weakness</w:t>
            </w:r>
          </w:p>
        </w:tc>
        <w:tc>
          <w:tcPr>
            <w:tcW w:type="dxa" w:w="4320"/>
            <w:tcMar>
              <w:top w:w="80" w:type="dxa"/>
              <w:start w:w="90" w:type="dxa"/>
              <w:bottom w:w="80" w:type="dxa"/>
              <w:end w:w="90" w:type="dxa"/>
            </w:tcMar>
            <w:vAlign w:val="center"/>
          </w:tcPr>
          <w:p>
            <w:pPr>
              <w:keepLines/>
              <w:spacing w:after="0" w:line="240" w:lineRule="auto"/>
              <w:jc w:val="left"/>
            </w:pPr>
            <w:r>
              <w:rPr>
                <w:rFonts w:ascii="Aptos" w:hAnsi="Aptos"/>
                <w:sz w:val="16"/>
              </w:rPr>
              <w:t>Consistently intermediate; about 1% behind v in Code C; usually ahead of i in global analyses</w:t>
            </w:r>
          </w:p>
        </w:tc>
      </w:tr>
      <w:tr>
        <w:trPr>
          <w:cantSplit/>
        </w:trPr>
        <w:tc>
          <w:tcPr>
            <w:tcW w:type="dxa" w:w="792"/>
            <w:shd w:fill="F2F6FA"/>
            <w:tcMar>
              <w:top w:w="80" w:type="dxa"/>
              <w:start w:w="90" w:type="dxa"/>
              <w:bottom w:w="80" w:type="dxa"/>
              <w:end w:w="90" w:type="dxa"/>
            </w:tcMar>
            <w:vAlign w:val="center"/>
          </w:tcPr>
          <w:p>
            <w:pPr>
              <w:keepLines/>
              <w:spacing w:after="0" w:line="240" w:lineRule="auto"/>
              <w:jc w:val="center"/>
            </w:pPr>
            <w:r>
              <w:rPr>
                <w:rFonts w:ascii="Aptos" w:hAnsi="Aptos"/>
                <w:sz w:val="16"/>
              </w:rPr>
              <w:t>4</w:t>
            </w:r>
          </w:p>
        </w:tc>
        <w:tc>
          <w:tcPr>
            <w:tcW w:type="dxa" w:w="936"/>
            <w:shd w:fill="F2F6FA"/>
            <w:tcMar>
              <w:top w:w="80" w:type="dxa"/>
              <w:start w:w="90" w:type="dxa"/>
              <w:bottom w:w="80" w:type="dxa"/>
              <w:end w:w="90" w:type="dxa"/>
            </w:tcMar>
            <w:vAlign w:val="center"/>
          </w:tcPr>
          <w:p>
            <w:pPr>
              <w:keepLines/>
              <w:spacing w:after="0" w:line="240" w:lineRule="auto"/>
              <w:jc w:val="center"/>
            </w:pPr>
            <w:r>
              <w:rPr>
                <w:rFonts w:ascii="Aptos" w:hAnsi="Aptos"/>
                <w:sz w:val="16"/>
              </w:rPr>
              <w:t>i</w:t>
            </w:r>
          </w:p>
        </w:tc>
        <w:tc>
          <w:tcPr>
            <w:tcW w:type="dxa" w:w="3672"/>
            <w:shd w:fill="F2F6FA"/>
            <w:tcMar>
              <w:top w:w="80" w:type="dxa"/>
              <w:start w:w="90" w:type="dxa"/>
              <w:bottom w:w="80" w:type="dxa"/>
              <w:end w:w="90" w:type="dxa"/>
            </w:tcMar>
            <w:vAlign w:val="center"/>
          </w:tcPr>
          <w:p>
            <w:pPr>
              <w:keepLines/>
              <w:spacing w:after="0" w:line="240" w:lineRule="auto"/>
              <w:jc w:val="left"/>
            </w:pPr>
            <w:r>
              <w:rPr>
                <w:rFonts w:ascii="Aptos" w:hAnsi="Aptos"/>
                <w:sz w:val="16"/>
              </w:rPr>
              <w:t>Conditionally excellent specialist; strongest sigma resistance</w:t>
            </w:r>
          </w:p>
        </w:tc>
        <w:tc>
          <w:tcPr>
            <w:tcW w:type="dxa" w:w="4320"/>
            <w:shd w:fill="F2F6FA"/>
            <w:tcMar>
              <w:top w:w="80" w:type="dxa"/>
              <w:start w:w="90" w:type="dxa"/>
              <w:bottom w:w="80" w:type="dxa"/>
              <w:end w:w="90" w:type="dxa"/>
            </w:tcMar>
            <w:vAlign w:val="center"/>
          </w:tcPr>
          <w:p>
            <w:pPr>
              <w:keepLines/>
              <w:spacing w:after="0" w:line="240" w:lineRule="auto"/>
              <w:jc w:val="left"/>
            </w:pPr>
            <w:r>
              <w:rPr>
                <w:rFonts w:ascii="Aptos" w:hAnsi="Aptos"/>
                <w:sz w:val="16"/>
              </w:rPr>
              <w:t>Co-leader with v in A and B; best RMSE in B; fourth in C and E</w:t>
            </w:r>
          </w:p>
        </w:tc>
      </w:tr>
      <w:tr>
        <w:trPr>
          <w:cantSplit/>
        </w:trPr>
        <w:tc>
          <w:tcPr>
            <w:tcW w:type="dxa" w:w="792"/>
            <w:tcMar>
              <w:top w:w="80" w:type="dxa"/>
              <w:start w:w="90" w:type="dxa"/>
              <w:bottom w:w="80" w:type="dxa"/>
              <w:end w:w="90" w:type="dxa"/>
            </w:tcMar>
            <w:vAlign w:val="center"/>
          </w:tcPr>
          <w:p>
            <w:pPr>
              <w:keepLines/>
              <w:spacing w:after="0" w:line="240" w:lineRule="auto"/>
              <w:jc w:val="center"/>
            </w:pPr>
            <w:r>
              <w:rPr>
                <w:rFonts w:ascii="Aptos" w:hAnsi="Aptos"/>
                <w:sz w:val="16"/>
              </w:rPr>
              <w:t>5</w:t>
            </w:r>
          </w:p>
        </w:tc>
        <w:tc>
          <w:tcPr>
            <w:tcW w:type="dxa" w:w="936"/>
            <w:tcMar>
              <w:top w:w="80" w:type="dxa"/>
              <w:start w:w="90" w:type="dxa"/>
              <w:bottom w:w="80" w:type="dxa"/>
              <w:end w:w="90" w:type="dxa"/>
            </w:tcMar>
            <w:vAlign w:val="center"/>
          </w:tcPr>
          <w:p>
            <w:pPr>
              <w:keepLines/>
              <w:spacing w:after="0" w:line="240" w:lineRule="auto"/>
              <w:jc w:val="center"/>
            </w:pPr>
            <w:r>
              <w:rPr>
                <w:rFonts w:ascii="Aptos" w:hAnsi="Aptos"/>
                <w:sz w:val="16"/>
              </w:rPr>
              <w:t>ii</w:t>
            </w:r>
          </w:p>
        </w:tc>
        <w:tc>
          <w:tcPr>
            <w:tcW w:type="dxa" w:w="3672"/>
            <w:tcMar>
              <w:top w:w="80" w:type="dxa"/>
              <w:start w:w="90" w:type="dxa"/>
              <w:bottom w:w="80" w:type="dxa"/>
              <w:end w:w="90" w:type="dxa"/>
            </w:tcMar>
            <w:vAlign w:val="center"/>
          </w:tcPr>
          <w:p>
            <w:pPr>
              <w:keepLines/>
              <w:spacing w:after="0" w:line="240" w:lineRule="auto"/>
              <w:jc w:val="left"/>
            </w:pPr>
            <w:r>
              <w:rPr>
                <w:rFonts w:ascii="Aptos" w:hAnsi="Aptos"/>
                <w:sz w:val="16"/>
              </w:rPr>
              <w:t>Consistently least accurate; not recommended as default</w:t>
            </w:r>
          </w:p>
        </w:tc>
        <w:tc>
          <w:tcPr>
            <w:tcW w:type="dxa" w:w="4320"/>
            <w:tcMar>
              <w:top w:w="80" w:type="dxa"/>
              <w:start w:w="90" w:type="dxa"/>
              <w:bottom w:w="80" w:type="dxa"/>
              <w:end w:w="90" w:type="dxa"/>
            </w:tcMar>
            <w:vAlign w:val="center"/>
          </w:tcPr>
          <w:p>
            <w:pPr>
              <w:keepLines/>
              <w:spacing w:after="0" w:line="240" w:lineRule="auto"/>
              <w:jc w:val="left"/>
            </w:pPr>
            <w:r>
              <w:rPr>
                <w:rFonts w:ascii="Aptos" w:hAnsi="Aptos"/>
                <w:sz w:val="16"/>
              </w:rPr>
              <w:t>Worst under every metric; about 19.7% above v in Code C</w:t>
            </w:r>
          </w:p>
        </w:tc>
      </w:tr>
    </w:tbl>
    <w:p>
      <w:pPr>
        <w:spacing w:after="20"/>
      </w:pPr>
    </w:p>
    <w:p>
      <w:pPr>
        <w:pStyle w:val="TableNote"/>
      </w:pPr>
      <w:r>
        <w:t>Interpretive note. Rank 3 versus rank 4 is the least stable part of the hierarchy: iv has the better broad average, whereas i has stronger conditional evidence at the factorial reference settings and under increasing sigma.</w:t>
      </w:r>
    </w:p>
    <w:p>
      <w:pPr>
        <w:pStyle w:val="Heading1"/>
      </w:pPr>
      <w:r>
        <w:t>1. Analytical evidence and reconciliation of estimands</w:t>
      </w:r>
    </w:p>
    <w:p>
      <w:r>
        <w:t>The five analyses answer different statistical questions; their rankings should not be combined as if they were repeated estimates of one parameter. Codes A and B estimate adjusted performance at explicit reference settings, Code C estimates matched global geometric-mean error ratios, Code D identifies factors associated with pairwise gaps, and Code E describes nonlinear p1–p2 surfaces. The integrated ranking gives greatest weight to evidence that averages broadly across the design, while retaining conditional strengths revealed by interactions and surfaces.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792"/>
            <w:shd w:fill="1F4E78"/>
            <w:tcMar>
              <w:top w:w="80" w:type="dxa"/>
              <w:start w:w="90" w:type="dxa"/>
              <w:bottom w:w="80" w:type="dxa"/>
              <w:end w:w="90" w:type="dxa"/>
            </w:tcMar>
            <w:vAlign w:val="center"/>
          </w:tcPr>
          <w:p>
            <w:pPr>
              <w:keepLines/>
              <w:jc w:val="center"/>
            </w:pPr>
            <w:r>
              <w:rPr>
                <w:rFonts w:ascii="Aptos" w:hAnsi="Aptos"/>
                <w:b/>
                <w:color w:val="FFFFFF"/>
                <w:sz w:val="15"/>
              </w:rPr>
              <w:t>Code</w:t>
            </w:r>
          </w:p>
        </w:tc>
        <w:tc>
          <w:tcPr>
            <w:tcW w:type="dxa" w:w="2736"/>
            <w:shd w:fill="1F4E78"/>
            <w:tcMar>
              <w:top w:w="80" w:type="dxa"/>
              <w:start w:w="90" w:type="dxa"/>
              <w:bottom w:w="80" w:type="dxa"/>
              <w:end w:w="90" w:type="dxa"/>
            </w:tcMar>
            <w:vAlign w:val="center"/>
          </w:tcPr>
          <w:p>
            <w:pPr>
              <w:keepLines/>
              <w:jc w:val="center"/>
            </w:pPr>
            <w:r>
              <w:rPr>
                <w:rFonts w:ascii="Aptos" w:hAnsi="Aptos"/>
                <w:b/>
                <w:color w:val="FFFFFF"/>
                <w:sz w:val="15"/>
              </w:rPr>
              <w:t>Statistical target</w:t>
            </w:r>
          </w:p>
        </w:tc>
        <w:tc>
          <w:tcPr>
            <w:tcW w:type="dxa" w:w="3384"/>
            <w:shd w:fill="1F4E78"/>
            <w:tcMar>
              <w:top w:w="80" w:type="dxa"/>
              <w:start w:w="90" w:type="dxa"/>
              <w:bottom w:w="80" w:type="dxa"/>
              <w:end w:w="90" w:type="dxa"/>
            </w:tcMar>
            <w:vAlign w:val="center"/>
          </w:tcPr>
          <w:p>
            <w:pPr>
              <w:keepLines/>
              <w:jc w:val="center"/>
            </w:pPr>
            <w:r>
              <w:rPr>
                <w:rFonts w:ascii="Aptos" w:hAnsi="Aptos"/>
                <w:b/>
                <w:color w:val="FFFFFF"/>
                <w:sz w:val="15"/>
              </w:rPr>
              <w:t>Principal method result</w:t>
            </w:r>
          </w:p>
        </w:tc>
        <w:tc>
          <w:tcPr>
            <w:tcW w:type="dxa" w:w="3240"/>
            <w:shd w:fill="1F4E78"/>
            <w:tcMar>
              <w:top w:w="80" w:type="dxa"/>
              <w:start w:w="90" w:type="dxa"/>
              <w:bottom w:w="80" w:type="dxa"/>
              <w:end w:w="90" w:type="dxa"/>
            </w:tcMar>
            <w:vAlign w:val="center"/>
          </w:tcPr>
          <w:p>
            <w:pPr>
              <w:keepLines/>
              <w:jc w:val="center"/>
            </w:pPr>
            <w:r>
              <w:rPr>
                <w:rFonts w:ascii="Aptos" w:hAnsi="Aptos"/>
                <w:b/>
                <w:color w:val="FFFFFF"/>
                <w:sz w:val="15"/>
              </w:rPr>
              <w:t>Principal factor result</w:t>
            </w:r>
          </w:p>
        </w:tc>
      </w:tr>
      <w:tr>
        <w:trPr>
          <w:cantSplit/>
        </w:trPr>
        <w:tc>
          <w:tcPr>
            <w:tcW w:type="dxa" w:w="792"/>
            <w:tcMar>
              <w:top w:w="80" w:type="dxa"/>
              <w:start w:w="90" w:type="dxa"/>
              <w:bottom w:w="80" w:type="dxa"/>
              <w:end w:w="90" w:type="dxa"/>
            </w:tcMar>
            <w:vAlign w:val="center"/>
          </w:tcPr>
          <w:p>
            <w:pPr>
              <w:keepLines/>
              <w:spacing w:after="0" w:line="240" w:lineRule="auto"/>
              <w:jc w:val="center"/>
            </w:pPr>
            <w:r>
              <w:rPr>
                <w:rFonts w:ascii="Aptos" w:hAnsi="Aptos"/>
                <w:sz w:val="15"/>
              </w:rPr>
              <w:t>A</w:t>
            </w:r>
          </w:p>
        </w:tc>
        <w:tc>
          <w:tcPr>
            <w:tcW w:type="dxa" w:w="2736"/>
            <w:tcMar>
              <w:top w:w="80" w:type="dxa"/>
              <w:start w:w="90" w:type="dxa"/>
              <w:bottom w:w="80" w:type="dxa"/>
              <w:end w:w="90" w:type="dxa"/>
            </w:tcMar>
            <w:vAlign w:val="center"/>
          </w:tcPr>
          <w:p>
            <w:pPr>
              <w:keepLines/>
              <w:spacing w:after="0" w:line="240" w:lineRule="auto"/>
              <w:jc w:val="left"/>
            </w:pPr>
            <w:r>
              <w:rPr>
                <w:rFonts w:ascii="Aptos" w:hAnsi="Aptos"/>
                <w:sz w:val="15"/>
              </w:rPr>
              <w:t>Factorial MANOVA and metric-specific ANOVAs; reference-condition EMMs</w:t>
            </w:r>
          </w:p>
        </w:tc>
        <w:tc>
          <w:tcPr>
            <w:tcW w:type="dxa" w:w="3384"/>
            <w:tcMar>
              <w:top w:w="80" w:type="dxa"/>
              <w:start w:w="90" w:type="dxa"/>
              <w:bottom w:w="80" w:type="dxa"/>
              <w:end w:w="90" w:type="dxa"/>
            </w:tcMar>
            <w:vAlign w:val="center"/>
          </w:tcPr>
          <w:p>
            <w:pPr>
              <w:keepLines/>
              <w:spacing w:after="0" w:line="240" w:lineRule="auto"/>
              <w:jc w:val="left"/>
            </w:pPr>
            <w:r>
              <w:rPr>
                <w:rFonts w:ascii="Aptos" w:hAnsi="Aptos"/>
                <w:sz w:val="15"/>
              </w:rPr>
              <w:t>i and v tied; iv then iii; ii last</w:t>
            </w:r>
          </w:p>
        </w:tc>
        <w:tc>
          <w:tcPr>
            <w:tcW w:type="dxa" w:w="3240"/>
            <w:tcMar>
              <w:top w:w="80" w:type="dxa"/>
              <w:start w:w="90" w:type="dxa"/>
              <w:bottom w:w="80" w:type="dxa"/>
              <w:end w:w="90" w:type="dxa"/>
            </w:tcMar>
            <w:vAlign w:val="center"/>
          </w:tcPr>
          <w:p>
            <w:pPr>
              <w:keepLines/>
              <w:spacing w:after="0" w:line="240" w:lineRule="auto"/>
              <w:jc w:val="left"/>
            </w:pPr>
            <w:r>
              <w:rPr>
                <w:rFonts w:ascii="Aptos" w:hAnsi="Aptos"/>
                <w:sz w:val="15"/>
              </w:rPr>
              <w:t>G and sigma dominant; mean_nsamp third; method × sigma largest interaction</w:t>
            </w:r>
          </w:p>
        </w:tc>
      </w:tr>
      <w:tr>
        <w:trPr>
          <w:cantSplit/>
        </w:trPr>
        <w:tc>
          <w:tcPr>
            <w:tcW w:type="dxa" w:w="792"/>
            <w:shd w:fill="F2F6FA"/>
            <w:tcMar>
              <w:top w:w="80" w:type="dxa"/>
              <w:start w:w="90" w:type="dxa"/>
              <w:bottom w:w="80" w:type="dxa"/>
              <w:end w:w="90" w:type="dxa"/>
            </w:tcMar>
            <w:vAlign w:val="center"/>
          </w:tcPr>
          <w:p>
            <w:pPr>
              <w:keepLines/>
              <w:spacing w:after="0" w:line="240" w:lineRule="auto"/>
              <w:jc w:val="center"/>
            </w:pPr>
            <w:r>
              <w:rPr>
                <w:rFonts w:ascii="Aptos" w:hAnsi="Aptos"/>
                <w:sz w:val="15"/>
              </w:rPr>
              <w:t>B</w:t>
            </w:r>
          </w:p>
        </w:tc>
        <w:tc>
          <w:tcPr>
            <w:tcW w:type="dxa" w:w="2736"/>
            <w:shd w:fill="F2F6FA"/>
            <w:tcMar>
              <w:top w:w="80" w:type="dxa"/>
              <w:start w:w="90" w:type="dxa"/>
              <w:bottom w:w="80" w:type="dxa"/>
              <w:end w:w="90" w:type="dxa"/>
            </w:tcMar>
            <w:vAlign w:val="center"/>
          </w:tcPr>
          <w:p>
            <w:pPr>
              <w:keepLines/>
              <w:spacing w:after="0" w:line="240" w:lineRule="auto"/>
              <w:jc w:val="left"/>
            </w:pPr>
            <w:r>
              <w:rPr>
                <w:rFonts w:ascii="Aptos" w:hAnsi="Aptos"/>
                <w:sz w:val="15"/>
              </w:rPr>
              <w:t>Weighted mixed model with simplex random intercept and metric interactions</w:t>
            </w:r>
          </w:p>
        </w:tc>
        <w:tc>
          <w:tcPr>
            <w:tcW w:type="dxa" w:w="3384"/>
            <w:shd w:fill="F2F6FA"/>
            <w:tcMar>
              <w:top w:w="80" w:type="dxa"/>
              <w:start w:w="90" w:type="dxa"/>
              <w:bottom w:w="80" w:type="dxa"/>
              <w:end w:w="90" w:type="dxa"/>
            </w:tcMar>
            <w:vAlign w:val="center"/>
          </w:tcPr>
          <w:p>
            <w:pPr>
              <w:keepLines/>
              <w:spacing w:after="0" w:line="240" w:lineRule="auto"/>
              <w:jc w:val="left"/>
            </w:pPr>
            <w:r>
              <w:rPr>
                <w:rFonts w:ascii="Aptos" w:hAnsi="Aptos"/>
                <w:sz w:val="15"/>
              </w:rPr>
              <w:t>i and v tied globally; metric-specific crossover; ii last</w:t>
            </w:r>
          </w:p>
        </w:tc>
        <w:tc>
          <w:tcPr>
            <w:tcW w:type="dxa" w:w="3240"/>
            <w:shd w:fill="F2F6FA"/>
            <w:tcMar>
              <w:top w:w="80" w:type="dxa"/>
              <w:start w:w="90" w:type="dxa"/>
              <w:bottom w:w="80" w:type="dxa"/>
              <w:end w:w="90" w:type="dxa"/>
            </w:tcMar>
            <w:vAlign w:val="center"/>
          </w:tcPr>
          <w:p>
            <w:pPr>
              <w:keepLines/>
              <w:spacing w:after="0" w:line="240" w:lineRule="auto"/>
              <w:jc w:val="left"/>
            </w:pPr>
            <w:r>
              <w:rPr>
                <w:rFonts w:ascii="Aptos" w:hAnsi="Aptos"/>
                <w:sz w:val="15"/>
              </w:rPr>
              <w:t>G and sigma dominant; mean_nsamp third; simplex ICC about 7%</w:t>
            </w:r>
          </w:p>
        </w:tc>
      </w:tr>
      <w:tr>
        <w:trPr>
          <w:cantSplit/>
        </w:trPr>
        <w:tc>
          <w:tcPr>
            <w:tcW w:type="dxa" w:w="792"/>
            <w:tcMar>
              <w:top w:w="80" w:type="dxa"/>
              <w:start w:w="90" w:type="dxa"/>
              <w:bottom w:w="80" w:type="dxa"/>
              <w:end w:w="90" w:type="dxa"/>
            </w:tcMar>
            <w:vAlign w:val="center"/>
          </w:tcPr>
          <w:p>
            <w:pPr>
              <w:keepLines/>
              <w:spacing w:after="0" w:line="240" w:lineRule="auto"/>
              <w:jc w:val="center"/>
            </w:pPr>
            <w:r>
              <w:rPr>
                <w:rFonts w:ascii="Aptos" w:hAnsi="Aptos"/>
                <w:sz w:val="15"/>
              </w:rPr>
              <w:t>C</w:t>
            </w:r>
          </w:p>
        </w:tc>
        <w:tc>
          <w:tcPr>
            <w:tcW w:type="dxa" w:w="2736"/>
            <w:tcMar>
              <w:top w:w="80" w:type="dxa"/>
              <w:start w:w="90" w:type="dxa"/>
              <w:bottom w:w="80" w:type="dxa"/>
              <w:end w:w="90" w:type="dxa"/>
            </w:tcMar>
            <w:vAlign w:val="center"/>
          </w:tcPr>
          <w:p>
            <w:pPr>
              <w:keepLines/>
              <w:spacing w:after="0" w:line="240" w:lineRule="auto"/>
              <w:jc w:val="left"/>
            </w:pPr>
            <w:r>
              <w:rPr>
                <w:rFonts w:ascii="Aptos" w:hAnsi="Aptos"/>
                <w:sz w:val="15"/>
              </w:rPr>
              <w:t>Matched pairwise Hotelling tests of mean log-error differences</w:t>
            </w:r>
          </w:p>
        </w:tc>
        <w:tc>
          <w:tcPr>
            <w:tcW w:type="dxa" w:w="3384"/>
            <w:tcMar>
              <w:top w:w="80" w:type="dxa"/>
              <w:start w:w="90" w:type="dxa"/>
              <w:bottom w:w="80" w:type="dxa"/>
              <w:end w:w="90" w:type="dxa"/>
            </w:tcMar>
            <w:vAlign w:val="center"/>
          </w:tcPr>
          <w:p>
            <w:pPr>
              <w:keepLines/>
              <w:spacing w:after="0" w:line="240" w:lineRule="auto"/>
              <w:jc w:val="left"/>
            </w:pPr>
            <w:r>
              <w:rPr>
                <w:rFonts w:ascii="Aptos" w:hAnsi="Aptos"/>
                <w:sz w:val="15"/>
              </w:rPr>
              <w:t>v &gt; iii &gt; iv &gt; i &gt; ii for all metrics</w:t>
            </w:r>
          </w:p>
        </w:tc>
        <w:tc>
          <w:tcPr>
            <w:tcW w:type="dxa" w:w="3240"/>
            <w:tcMar>
              <w:top w:w="80" w:type="dxa"/>
              <w:start w:w="90" w:type="dxa"/>
              <w:bottom w:w="80" w:type="dxa"/>
              <w:end w:w="90" w:type="dxa"/>
            </w:tcMar>
            <w:vAlign w:val="center"/>
          </w:tcPr>
          <w:p>
            <w:pPr>
              <w:keepLines/>
              <w:spacing w:after="0" w:line="240" w:lineRule="auto"/>
              <w:jc w:val="left"/>
            </w:pPr>
            <w:r>
              <w:rPr>
                <w:rFonts w:ascii="Aptos" w:hAnsi="Aptos"/>
                <w:sz w:val="15"/>
              </w:rPr>
              <w:t>All ten multivariate pair tests significant</w:t>
            </w:r>
          </w:p>
        </w:tc>
      </w:tr>
      <w:tr>
        <w:trPr>
          <w:cantSplit/>
        </w:trPr>
        <w:tc>
          <w:tcPr>
            <w:tcW w:type="dxa" w:w="792"/>
            <w:shd w:fill="F2F6FA"/>
            <w:tcMar>
              <w:top w:w="80" w:type="dxa"/>
              <w:start w:w="90" w:type="dxa"/>
              <w:bottom w:w="80" w:type="dxa"/>
              <w:end w:w="90" w:type="dxa"/>
            </w:tcMar>
            <w:vAlign w:val="center"/>
          </w:tcPr>
          <w:p>
            <w:pPr>
              <w:keepLines/>
              <w:spacing w:after="0" w:line="240" w:lineRule="auto"/>
              <w:jc w:val="center"/>
            </w:pPr>
            <w:r>
              <w:rPr>
                <w:rFonts w:ascii="Aptos" w:hAnsi="Aptos"/>
                <w:sz w:val="15"/>
              </w:rPr>
              <w:t>D</w:t>
            </w:r>
          </w:p>
        </w:tc>
        <w:tc>
          <w:tcPr>
            <w:tcW w:type="dxa" w:w="2736"/>
            <w:shd w:fill="F2F6FA"/>
            <w:tcMar>
              <w:top w:w="80" w:type="dxa"/>
              <w:start w:w="90" w:type="dxa"/>
              <w:bottom w:w="80" w:type="dxa"/>
              <w:end w:w="90" w:type="dxa"/>
            </w:tcMar>
            <w:vAlign w:val="center"/>
          </w:tcPr>
          <w:p>
            <w:pPr>
              <w:keepLines/>
              <w:spacing w:after="0" w:line="240" w:lineRule="auto"/>
              <w:jc w:val="left"/>
            </w:pPr>
            <w:r>
              <w:rPr>
                <w:rFonts w:ascii="Aptos" w:hAnsi="Aptos"/>
                <w:sz w:val="15"/>
              </w:rPr>
              <w:t>Factorial models of pairwise method gaps</w:t>
            </w:r>
          </w:p>
        </w:tc>
        <w:tc>
          <w:tcPr>
            <w:tcW w:type="dxa" w:w="3384"/>
            <w:shd w:fill="F2F6FA"/>
            <w:tcMar>
              <w:top w:w="80" w:type="dxa"/>
              <w:start w:w="90" w:type="dxa"/>
              <w:bottom w:w="80" w:type="dxa"/>
              <w:end w:w="90" w:type="dxa"/>
            </w:tcMar>
            <w:vAlign w:val="center"/>
          </w:tcPr>
          <w:p>
            <w:pPr>
              <w:keepLines/>
              <w:spacing w:after="0" w:line="240" w:lineRule="auto"/>
              <w:jc w:val="left"/>
            </w:pPr>
            <w:r>
              <w:rPr>
                <w:rFonts w:ascii="Aptos" w:hAnsi="Aptos"/>
                <w:sz w:val="15"/>
              </w:rPr>
              <w:t>Global gaps vary by design conditions; no crossover locations estimated</w:t>
            </w:r>
          </w:p>
        </w:tc>
        <w:tc>
          <w:tcPr>
            <w:tcW w:type="dxa" w:w="3240"/>
            <w:shd w:fill="F2F6FA"/>
            <w:tcMar>
              <w:top w:w="80" w:type="dxa"/>
              <w:start w:w="90" w:type="dxa"/>
              <w:bottom w:w="80" w:type="dxa"/>
              <w:end w:w="90" w:type="dxa"/>
            </w:tcMar>
            <w:vAlign w:val="center"/>
          </w:tcPr>
          <w:p>
            <w:pPr>
              <w:keepLines/>
              <w:spacing w:after="0" w:line="240" w:lineRule="auto"/>
              <w:jc w:val="left"/>
            </w:pPr>
            <w:r>
              <w:rPr>
                <w:rFonts w:ascii="Aptos" w:hAnsi="Aptos"/>
                <w:sz w:val="15"/>
              </w:rPr>
              <w:t>sigma strongest; design block and mean_nsamp next; G and theta_true smaller</w:t>
            </w:r>
          </w:p>
        </w:tc>
      </w:tr>
      <w:tr>
        <w:trPr>
          <w:cantSplit/>
        </w:trPr>
        <w:tc>
          <w:tcPr>
            <w:tcW w:type="dxa" w:w="792"/>
            <w:tcMar>
              <w:top w:w="80" w:type="dxa"/>
              <w:start w:w="90" w:type="dxa"/>
              <w:bottom w:w="80" w:type="dxa"/>
              <w:end w:w="90" w:type="dxa"/>
            </w:tcMar>
            <w:vAlign w:val="center"/>
          </w:tcPr>
          <w:p>
            <w:pPr>
              <w:keepLines/>
              <w:spacing w:after="0" w:line="240" w:lineRule="auto"/>
              <w:jc w:val="center"/>
            </w:pPr>
            <w:r>
              <w:rPr>
                <w:rFonts w:ascii="Aptos" w:hAnsi="Aptos"/>
                <w:sz w:val="15"/>
              </w:rPr>
              <w:t>E</w:t>
            </w:r>
          </w:p>
        </w:tc>
        <w:tc>
          <w:tcPr>
            <w:tcW w:type="dxa" w:w="2736"/>
            <w:tcMar>
              <w:top w:w="80" w:type="dxa"/>
              <w:start w:w="90" w:type="dxa"/>
              <w:bottom w:w="80" w:type="dxa"/>
              <w:end w:w="90" w:type="dxa"/>
            </w:tcMar>
            <w:vAlign w:val="center"/>
          </w:tcPr>
          <w:p>
            <w:pPr>
              <w:keepLines/>
              <w:spacing w:after="0" w:line="240" w:lineRule="auto"/>
              <w:jc w:val="left"/>
            </w:pPr>
            <w:r>
              <w:rPr>
                <w:rFonts w:ascii="Aptos" w:hAnsi="Aptos"/>
                <w:sz w:val="15"/>
              </w:rPr>
              <w:t>Global GAM and v-versus-iii simplex-surface diagnostics</w:t>
            </w:r>
          </w:p>
        </w:tc>
        <w:tc>
          <w:tcPr>
            <w:tcW w:type="dxa" w:w="3384"/>
            <w:tcMar>
              <w:top w:w="80" w:type="dxa"/>
              <w:start w:w="90" w:type="dxa"/>
              <w:bottom w:w="80" w:type="dxa"/>
              <w:end w:w="90" w:type="dxa"/>
            </w:tcMar>
            <w:vAlign w:val="center"/>
          </w:tcPr>
          <w:p>
            <w:pPr>
              <w:keepLines/>
              <w:spacing w:after="0" w:line="240" w:lineRule="auto"/>
              <w:jc w:val="left"/>
            </w:pPr>
            <w:r>
              <w:rPr>
                <w:rFonts w:ascii="Aptos" w:hAnsi="Aptos"/>
                <w:sz w:val="15"/>
              </w:rPr>
              <w:t>iii best RMSE; v best L1/Linf; ii last</w:t>
            </w:r>
          </w:p>
        </w:tc>
        <w:tc>
          <w:tcPr>
            <w:tcW w:type="dxa" w:w="3240"/>
            <w:tcMar>
              <w:top w:w="80" w:type="dxa"/>
              <w:start w:w="90" w:type="dxa"/>
              <w:bottom w:w="80" w:type="dxa"/>
              <w:end w:w="90" w:type="dxa"/>
            </w:tcMar>
            <w:vAlign w:val="center"/>
          </w:tcPr>
          <w:p>
            <w:pPr>
              <w:keepLines/>
              <w:spacing w:after="0" w:line="240" w:lineRule="auto"/>
              <w:jc w:val="left"/>
            </w:pPr>
            <w:r>
              <w:rPr>
                <w:rFonts w:ascii="Aptos" w:hAnsi="Aptos"/>
                <w:sz w:val="15"/>
              </w:rPr>
              <w:t>G and sigma dominant; nonlinear boundary behavior in p1–p2</w:t>
            </w:r>
          </w:p>
        </w:tc>
      </w:tr>
    </w:tbl>
    <w:p>
      <w:pPr>
        <w:spacing w:after="20"/>
      </w:pPr>
    </w:p>
    <w:p>
      <w:pPr>
        <w:pStyle w:val="Heading2"/>
      </w:pPr>
      <w:r>
        <w:t>Statistical significance versus practical importance</w:t>
      </w:r>
    </w:p>
    <w:p>
      <w:r>
        <w:t>The very large analytic samples make even small differences highly significant. Code A reports a significant method MANOVA effect (Pillai V = 0.0180, approximate F = 1,136, p &lt; 2 × 10⁻¹⁶), while G and sigma have much larger Pillai traces of 0.2686 and 0.2398. Code B likewise finds method, metric, and method × metric highly significant, but its metric term is partly a scale contrast among three different norms. Code C rejects equality for all ten method pairs, yet the v–iii difference is practically tiny. Statistical certainty therefore establishes that the methods are not identical; effect sizes, log-ratios, interactions, and surface morphology determine whether the differences matter in use.</w:t>
      </w:r>
    </w:p>
    <w:p>
      <w:pPr>
        <w:pStyle w:val="Heading1"/>
      </w:pPr>
      <w:r>
        <w:t>2. Comparative performance of the five methods</w:t>
      </w:r>
    </w:p>
    <w:p>
      <w:r>
        <w:t>Method v has the strongest cross-analysis record because it combines consistently low error with comparatively stable behavior. In Code C it has the lowest geometric-mean shifted error for RMSE, L1, and Linf. Relative to v, iii is only 0.11–0.16% worse, iv about 1.01–1.04% worse, i about 3.71–3.78% worse, and ii about 19.71–19.77% worse. Codes A and B do not contradict this global result; they show that at their reference conditions i and v are statistically indistinguishable, demonstrating conditional competitiveness of i rather than universal superiority.</w:t>
      </w:r>
    </w:p>
    <w:p>
      <w:pPr>
        <w:pStyle w:val="Heading2"/>
      </w:pPr>
      <w:r>
        <w:t>Method-specific assessment</w:t>
      </w:r>
    </w:p>
    <w:p>
      <w:r>
        <w:t>Method v is the preferred default. It is the global point-estimate leader in the matched analysis, the best adjusted method for L1 and Linf in Code E, and part of the best group in Codes A and B. It is less sensitive to increasing sigma than ii–iv and gains substantially from larger sample sizes. Its main qualification is that its advantage over iii is often too small to be operationally important.</w:t>
      </w:r>
    </w:p>
    <w:p>
      <w:r>
        <w:t>Method iii is the preferred alternative when RMSE is primary or when a practically equivalent implementation to v is desirable. Code E places iii first for adjusted RMSE, and Code C shows near-equivalence to v on every metric. Its weaker position in Codes A and B—behind iv at the stated reference settings—demonstrates that it is not uniformly dominant, especially under the specific high-sigma reference configurations used there.</w:t>
      </w:r>
    </w:p>
    <w:p>
      <w:r>
        <w:t>Method iv is the most stable middle-ranked estimator. It is third in the global Code C ordering and intermediate in every reference-condition comparison. It often benefits strongly from larger mean sample size and generally improves on iii at the Codes A and B reference settings, especially for RMSE and Linf. It lacks the leading performance of v or the RMSE advantage of iii, but it also lacks the pronounced local irregularity observed for i.</w:t>
      </w:r>
    </w:p>
    <w:p>
      <w:r>
        <w:t>Method i is a strong conditional specialist. It is tied with v across all three Code A metrics, has the lowest RMSE EMM in Code B, ties v for Linf there, and exhibits the smallest modeled deterioration as sigma increases. Against those strengths, Code C ranks it fourth globally, and Code E identifies a localized high-error region near p1 ≈ 0.2 and p2 ≈ 0.2. Method i is therefore well justified when high-noise robustness or the specific reference regime is central, but not as the unconditional default over the entire design.</w:t>
      </w:r>
    </w:p>
    <w:p>
      <w:r>
        <w:t>Method ii is consistently inferior. It has the largest error under all three metrics in Codes A, B, C, and E. It is approximately 20% worse than i and 19.7% worse than v in the matched Code C comparisons. Although it benefits most from increasing G and theta_true, it also deteriorates fastest as sigma rises. No supplied analysis identifies a factor region where these gains reverse its overall disadvantage.</w:t>
      </w:r>
    </w:p>
    <w:p>
      <w:pPr>
        <w:pStyle w:val="Heading2"/>
      </w:pPr>
      <w:r>
        <w:t>Metric-specific ranking evidence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1008"/>
            <w:shd w:fill="1F4E78"/>
            <w:tcMar>
              <w:top w:w="80" w:type="dxa"/>
              <w:start w:w="90" w:type="dxa"/>
              <w:bottom w:w="80" w:type="dxa"/>
              <w:end w:w="90" w:type="dxa"/>
            </w:tcMar>
            <w:vAlign w:val="center"/>
          </w:tcPr>
          <w:p>
            <w:pPr>
              <w:keepLines/>
              <w:jc w:val="center"/>
            </w:pPr>
            <w:r>
              <w:rPr>
                <w:rFonts w:ascii="Aptos" w:hAnsi="Aptos"/>
                <w:b/>
                <w:color w:val="FFFFFF"/>
                <w:sz w:val="16"/>
              </w:rPr>
              <w:t>Metric</w:t>
            </w:r>
          </w:p>
        </w:tc>
        <w:tc>
          <w:tcPr>
            <w:tcW w:type="dxa" w:w="2376"/>
            <w:shd w:fill="1F4E78"/>
            <w:tcMar>
              <w:top w:w="80" w:type="dxa"/>
              <w:start w:w="90" w:type="dxa"/>
              <w:bottom w:w="80" w:type="dxa"/>
              <w:end w:w="90" w:type="dxa"/>
            </w:tcMar>
            <w:vAlign w:val="center"/>
          </w:tcPr>
          <w:p>
            <w:pPr>
              <w:keepLines/>
              <w:jc w:val="center"/>
            </w:pPr>
            <w:r>
              <w:rPr>
                <w:rFonts w:ascii="Aptos" w:hAnsi="Aptos"/>
                <w:b/>
                <w:color w:val="FFFFFF"/>
                <w:sz w:val="16"/>
              </w:rPr>
              <w:t>Broad integrated ordering</w:t>
            </w:r>
          </w:p>
        </w:tc>
        <w:tc>
          <w:tcPr>
            <w:tcW w:type="dxa" w:w="4104"/>
            <w:shd w:fill="1F4E78"/>
            <w:tcMar>
              <w:top w:w="80" w:type="dxa"/>
              <w:start w:w="90" w:type="dxa"/>
              <w:bottom w:w="80" w:type="dxa"/>
              <w:end w:w="90" w:type="dxa"/>
            </w:tcMar>
            <w:vAlign w:val="center"/>
          </w:tcPr>
          <w:p>
            <w:pPr>
              <w:keepLines/>
              <w:jc w:val="center"/>
            </w:pPr>
            <w:r>
              <w:rPr>
                <w:rFonts w:ascii="Aptos" w:hAnsi="Aptos"/>
                <w:b/>
                <w:color w:val="FFFFFF"/>
                <w:sz w:val="16"/>
              </w:rPr>
              <w:t>Conditional findings</w:t>
            </w:r>
          </w:p>
        </w:tc>
        <w:tc>
          <w:tcPr>
            <w:tcW w:type="dxa" w:w="3168"/>
            <w:shd w:fill="1F4E78"/>
            <w:tcMar>
              <w:top w:w="80" w:type="dxa"/>
              <w:start w:w="90" w:type="dxa"/>
              <w:bottom w:w="80" w:type="dxa"/>
              <w:end w:w="90" w:type="dxa"/>
            </w:tcMar>
            <w:vAlign w:val="center"/>
          </w:tcPr>
          <w:p>
            <w:pPr>
              <w:keepLines/>
              <w:jc w:val="center"/>
            </w:pPr>
            <w:r>
              <w:rPr>
                <w:rFonts w:ascii="Aptos" w:hAnsi="Aptos"/>
                <w:b/>
                <w:color w:val="FFFFFF"/>
                <w:sz w:val="16"/>
              </w:rPr>
              <w:t>Interpretation</w:t>
            </w:r>
          </w:p>
        </w:tc>
      </w:tr>
      <w:tr>
        <w:trPr>
          <w:cantSplit/>
        </w:trPr>
        <w:tc>
          <w:tcPr>
            <w:tcW w:type="dxa" w:w="1008"/>
            <w:tcMar>
              <w:top w:w="80" w:type="dxa"/>
              <w:start w:w="90" w:type="dxa"/>
              <w:bottom w:w="80" w:type="dxa"/>
              <w:end w:w="90" w:type="dxa"/>
            </w:tcMar>
            <w:vAlign w:val="center"/>
          </w:tcPr>
          <w:p>
            <w:pPr>
              <w:keepLines/>
              <w:spacing w:after="0" w:line="240" w:lineRule="auto"/>
              <w:jc w:val="center"/>
            </w:pPr>
            <w:r>
              <w:rPr>
                <w:rFonts w:ascii="Aptos" w:hAnsi="Aptos"/>
                <w:sz w:val="16"/>
              </w:rPr>
              <w:t>RMSE</w:t>
            </w:r>
          </w:p>
        </w:tc>
        <w:tc>
          <w:tcPr>
            <w:tcW w:type="dxa" w:w="2376"/>
            <w:tcMar>
              <w:top w:w="80" w:type="dxa"/>
              <w:start w:w="90" w:type="dxa"/>
              <w:bottom w:w="80" w:type="dxa"/>
              <w:end w:w="90" w:type="dxa"/>
            </w:tcMar>
            <w:vAlign w:val="center"/>
          </w:tcPr>
          <w:p>
            <w:pPr>
              <w:keepLines/>
              <w:spacing w:after="0" w:line="240" w:lineRule="auto"/>
              <w:jc w:val="left"/>
            </w:pPr>
            <w:r>
              <w:rPr>
                <w:rFonts w:ascii="Aptos" w:hAnsi="Aptos"/>
                <w:sz w:val="16"/>
              </w:rPr>
              <w:t>v ≈ iii &gt; iv &gt; i &gt; ii globally</w:t>
            </w:r>
          </w:p>
        </w:tc>
        <w:tc>
          <w:tcPr>
            <w:tcW w:type="dxa" w:w="4104"/>
            <w:tcMar>
              <w:top w:w="80" w:type="dxa"/>
              <w:start w:w="90" w:type="dxa"/>
              <w:bottom w:w="80" w:type="dxa"/>
              <w:end w:w="90" w:type="dxa"/>
            </w:tcMar>
            <w:vAlign w:val="center"/>
          </w:tcPr>
          <w:p>
            <w:pPr>
              <w:keepLines/>
              <w:spacing w:after="0" w:line="240" w:lineRule="auto"/>
              <w:jc w:val="left"/>
            </w:pPr>
            <w:r>
              <w:rPr>
                <w:rFonts w:ascii="Aptos" w:hAnsi="Aptos"/>
                <w:sz w:val="16"/>
              </w:rPr>
              <w:t>B: i &lt; v &lt; iv &lt; iii &lt; ii; E: iii &lt; v &lt; iv &lt; i &lt; ii</w:t>
            </w:r>
          </w:p>
        </w:tc>
        <w:tc>
          <w:tcPr>
            <w:tcW w:type="dxa" w:w="3168"/>
            <w:tcMar>
              <w:top w:w="80" w:type="dxa"/>
              <w:start w:w="90" w:type="dxa"/>
              <w:bottom w:w="80" w:type="dxa"/>
              <w:end w:w="90" w:type="dxa"/>
            </w:tcMar>
            <w:vAlign w:val="center"/>
          </w:tcPr>
          <w:p>
            <w:pPr>
              <w:keepLines/>
              <w:spacing w:after="0" w:line="240" w:lineRule="auto"/>
              <w:jc w:val="left"/>
            </w:pPr>
            <w:r>
              <w:rPr>
                <w:rFonts w:ascii="Aptos" w:hAnsi="Aptos"/>
                <w:sz w:val="16"/>
              </w:rPr>
              <w:t>iii and i each have conditional strengths; v is most consistently near the lead</w:t>
            </w:r>
          </w:p>
        </w:tc>
      </w:tr>
      <w:tr>
        <w:trPr>
          <w:cantSplit/>
        </w:trPr>
        <w:tc>
          <w:tcPr>
            <w:tcW w:type="dxa" w:w="1008"/>
            <w:shd w:fill="F2F6FA"/>
            <w:tcMar>
              <w:top w:w="80" w:type="dxa"/>
              <w:start w:w="90" w:type="dxa"/>
              <w:bottom w:w="80" w:type="dxa"/>
              <w:end w:w="90" w:type="dxa"/>
            </w:tcMar>
            <w:vAlign w:val="center"/>
          </w:tcPr>
          <w:p>
            <w:pPr>
              <w:keepLines/>
              <w:spacing w:after="0" w:line="240" w:lineRule="auto"/>
              <w:jc w:val="center"/>
            </w:pPr>
            <w:r>
              <w:rPr>
                <w:rFonts w:ascii="Aptos" w:hAnsi="Aptos"/>
                <w:sz w:val="16"/>
              </w:rPr>
              <w:t>L1</w:t>
            </w:r>
          </w:p>
        </w:tc>
        <w:tc>
          <w:tcPr>
            <w:tcW w:type="dxa" w:w="2376"/>
            <w:shd w:fill="F2F6FA"/>
            <w:tcMar>
              <w:top w:w="80" w:type="dxa"/>
              <w:start w:w="90" w:type="dxa"/>
              <w:bottom w:w="80" w:type="dxa"/>
              <w:end w:w="90" w:type="dxa"/>
            </w:tcMar>
            <w:vAlign w:val="center"/>
          </w:tcPr>
          <w:p>
            <w:pPr>
              <w:keepLines/>
              <w:spacing w:after="0" w:line="240" w:lineRule="auto"/>
              <w:jc w:val="left"/>
            </w:pPr>
            <w:r>
              <w:rPr>
                <w:rFonts w:ascii="Aptos" w:hAnsi="Aptos"/>
                <w:sz w:val="16"/>
              </w:rPr>
              <w:t>v &gt; iii &gt; iv &gt; i &gt; ii</w:t>
            </w:r>
          </w:p>
        </w:tc>
        <w:tc>
          <w:tcPr>
            <w:tcW w:type="dxa" w:w="4104"/>
            <w:shd w:fill="F2F6FA"/>
            <w:tcMar>
              <w:top w:w="80" w:type="dxa"/>
              <w:start w:w="90" w:type="dxa"/>
              <w:bottom w:w="80" w:type="dxa"/>
              <w:end w:w="90" w:type="dxa"/>
            </w:tcMar>
            <w:vAlign w:val="center"/>
          </w:tcPr>
          <w:p>
            <w:pPr>
              <w:keepLines/>
              <w:spacing w:after="0" w:line="240" w:lineRule="auto"/>
              <w:jc w:val="left"/>
            </w:pPr>
            <w:r>
              <w:rPr>
                <w:rFonts w:ascii="Aptos" w:hAnsi="Aptos"/>
                <w:sz w:val="16"/>
              </w:rPr>
              <w:t>B: v &lt; i &lt; iii ≈ iv &lt; ii; A: i ≈ v &lt; iv ≈ iii &lt; ii</w:t>
            </w:r>
          </w:p>
        </w:tc>
        <w:tc>
          <w:tcPr>
            <w:tcW w:type="dxa" w:w="3168"/>
            <w:shd w:fill="F2F6FA"/>
            <w:tcMar>
              <w:top w:w="80" w:type="dxa"/>
              <w:start w:w="90" w:type="dxa"/>
              <w:bottom w:w="80" w:type="dxa"/>
              <w:end w:w="90" w:type="dxa"/>
            </w:tcMar>
            <w:vAlign w:val="center"/>
          </w:tcPr>
          <w:p>
            <w:pPr>
              <w:keepLines/>
              <w:spacing w:after="0" w:line="240" w:lineRule="auto"/>
              <w:jc w:val="left"/>
            </w:pPr>
            <w:r>
              <w:rPr>
                <w:rFonts w:ascii="Aptos" w:hAnsi="Aptos"/>
                <w:sz w:val="16"/>
              </w:rPr>
              <w:t>v has the clearest metric-specific advantage; boundary separation is largest</w:t>
            </w:r>
          </w:p>
        </w:tc>
      </w:tr>
      <w:tr>
        <w:trPr>
          <w:cantSplit/>
        </w:trPr>
        <w:tc>
          <w:tcPr>
            <w:tcW w:type="dxa" w:w="1008"/>
            <w:tcMar>
              <w:top w:w="80" w:type="dxa"/>
              <w:start w:w="90" w:type="dxa"/>
              <w:bottom w:w="80" w:type="dxa"/>
              <w:end w:w="90" w:type="dxa"/>
            </w:tcMar>
            <w:vAlign w:val="center"/>
          </w:tcPr>
          <w:p>
            <w:pPr>
              <w:keepLines/>
              <w:spacing w:after="0" w:line="240" w:lineRule="auto"/>
              <w:jc w:val="center"/>
            </w:pPr>
            <w:r>
              <w:rPr>
                <w:rFonts w:ascii="Aptos" w:hAnsi="Aptos"/>
                <w:sz w:val="16"/>
              </w:rPr>
              <w:t>Linf</w:t>
            </w:r>
          </w:p>
        </w:tc>
        <w:tc>
          <w:tcPr>
            <w:tcW w:type="dxa" w:w="2376"/>
            <w:tcMar>
              <w:top w:w="80" w:type="dxa"/>
              <w:start w:w="90" w:type="dxa"/>
              <w:bottom w:w="80" w:type="dxa"/>
              <w:end w:w="90" w:type="dxa"/>
            </w:tcMar>
            <w:vAlign w:val="center"/>
          </w:tcPr>
          <w:p>
            <w:pPr>
              <w:keepLines/>
              <w:spacing w:after="0" w:line="240" w:lineRule="auto"/>
              <w:jc w:val="left"/>
            </w:pPr>
            <w:r>
              <w:rPr>
                <w:rFonts w:ascii="Aptos" w:hAnsi="Aptos"/>
                <w:sz w:val="16"/>
              </w:rPr>
              <w:t>v ≈ iii &gt; iv &gt; i &gt; ii globally</w:t>
            </w:r>
          </w:p>
        </w:tc>
        <w:tc>
          <w:tcPr>
            <w:tcW w:type="dxa" w:w="4104"/>
            <w:tcMar>
              <w:top w:w="80" w:type="dxa"/>
              <w:start w:w="90" w:type="dxa"/>
              <w:bottom w:w="80" w:type="dxa"/>
              <w:end w:w="90" w:type="dxa"/>
            </w:tcMar>
            <w:vAlign w:val="center"/>
          </w:tcPr>
          <w:p>
            <w:pPr>
              <w:keepLines/>
              <w:spacing w:after="0" w:line="240" w:lineRule="auto"/>
              <w:jc w:val="left"/>
            </w:pPr>
            <w:r>
              <w:rPr>
                <w:rFonts w:ascii="Aptos" w:hAnsi="Aptos"/>
                <w:sz w:val="16"/>
              </w:rPr>
              <w:t>B: i ≈ v &lt; iv &lt; iii &lt; ii; E: v ≈ iii &lt; iv &lt; i &lt; ii</w:t>
            </w:r>
          </w:p>
        </w:tc>
        <w:tc>
          <w:tcPr>
            <w:tcW w:type="dxa" w:w="3168"/>
            <w:tcMar>
              <w:top w:w="80" w:type="dxa"/>
              <w:start w:w="90" w:type="dxa"/>
              <w:bottom w:w="80" w:type="dxa"/>
              <w:end w:w="90" w:type="dxa"/>
            </w:tcMar>
            <w:vAlign w:val="center"/>
          </w:tcPr>
          <w:p>
            <w:pPr>
              <w:keepLines/>
              <w:spacing w:after="0" w:line="240" w:lineRule="auto"/>
              <w:jc w:val="left"/>
            </w:pPr>
            <w:r>
              <w:rPr>
                <w:rFonts w:ascii="Aptos" w:hAnsi="Aptos"/>
                <w:sz w:val="16"/>
              </w:rPr>
              <w:t>v, iii, and i are close conditionally; ii remains worst</w:t>
            </w:r>
          </w:p>
        </w:tc>
      </w:tr>
    </w:tbl>
    <w:p>
      <w:pPr>
        <w:spacing w:after="20"/>
      </w:pPr>
    </w:p>
    <w:p>
      <w:pPr>
        <w:pStyle w:val="TableNote"/>
      </w:pPr>
      <w:r>
        <w:t>Notation: “&lt;” denotes lower error and therefore better accuracy; “&gt;” in the broad ordering denotes superior performance. The Code C ordering is based on matched geometric-mean ratios of error + 10⁻⁶.</w:t>
      </w:r>
    </w:p>
    <w:p>
      <w:pPr>
        <w:pStyle w:val="Heading1"/>
      </w:pPr>
      <w:r>
        <w:t>3. RMSE: factor effects and method behavior</w:t>
      </w:r>
    </w:p>
    <w:p>
      <w:r>
        <w:t>RMSE is governed primarily by G and sigma, with sample size a clear but smaller third influence. Code A reports F = 60,498.8 for G, 57,486.6 for sigma, and 8,715.5 for mean_nsamp. The corresponding approximate partial eta-squared values are 0.1949, 0.1870, and 0.0337, compared with 0.0137 for method. Design block (0.0143) is similar in scale to method, theta_true is smaller (0.0089), theta_CV is negligible (0.0006), and linear p1/p2 effects are effectively zero. Code D reaches the same qualitative conclusion for pairwise RMSE gaps, although it places sigma first, followed by design block, mean_nsamp, G, and theta_true.</w:t>
      </w:r>
    </w:p>
    <w:p>
      <w:r>
        <w:t>The RMSE method × sigma interaction is the largest method interaction in Code A (F = 546.7; approximate partial eta squared = 0.00867). Method × G, method × mean_nsamp, method × theta_true, and method × design block are significant but much smaller. This pattern means that relative squared-error performance changes principally with dispersion. Code B confirms the direction: i has the smallest modeled increase from sigma = 0.25 to 1, v is next, and ii has the largest increase. Larger G and larger samples improve every method, with iv and v receiving particularly strong sample-size gains.</w:t>
      </w:r>
    </w:p>
    <w:p>
      <w:r>
        <w:t>For RMSE-based selection, the evidence supports a two-part recommendation. Use v as the general default because it remains at or near the top in every analysis; consider iii when average squared-error performance over the broader simplex is primary, and consider i when the operational regime resembles the Codes A/B reference setting or when robustness to rising sigma is paramount.</w:t>
      </w:r>
    </w:p>
    <w:p>
      <w:pPr>
        <w:pStyle w:val="Heading1"/>
      </w:pPr>
      <w:r>
        <w:t>4. L1: factor effects and method behavior</w:t>
      </w:r>
    </w:p>
    <w:p>
      <w:r>
        <w:t>L1 shows the largest factorial effect sizes among the three metrics. In Code A, G has F = 78,518.4 and approximate partial eta squared = 0.2390; sigma has F = 71,449.8 and partial eta squared = 0.2223; and mean_nsamp has F = 13,215.7 and partial eta squared = 0.0502. Design block (0.0175), method (0.0156), and theta_true (0.0132) form a smaller tier. Theta_CV contributes only 0.0008, p1 is statistically detectable but negligible, and p2 is nonsignificant.</w:t>
      </w:r>
    </w:p>
    <w:p>
      <w:r>
        <w:t>The L1 method × sigma interaction is again dominant (F = 501.3; approximate partial eta squared = 0.00796), while method interactions with G, mean_nsamp, theta_true, and design block are small but reliable. Code D ranks sigma first for pairwise L1 gaps, with design block and mean_nsamp next and G fourth. The agreement across models indicates that L1 differences among methods expand or contract mainly as dispersion and information content change, not as a simple linear function of p1 or p2.</w:t>
      </w:r>
    </w:p>
    <w:p>
      <w:r>
        <w:t>Method v has the clearest L1 advantage. It is best in the Code B and Code E adjusted comparisons and in every Code C pairwise log-ratio. The v–iii advantage remains practically small on average, but Code E shows that their absolute L1 separation rises sharply near the high-p1/high-p2 boundary. Because the targeted GAM uses an absolute difference, it identifies where the methods diverge but not which method is locally better; a signed contrast is required before claiming a boundary crossover.</w:t>
      </w:r>
    </w:p>
    <w:p>
      <w:pPr>
        <w:pStyle w:val="Heading1"/>
      </w:pPr>
      <w:r>
        <w:t>5. L-infinity: factor effects and method behavior</w:t>
      </w:r>
    </w:p>
    <w:p>
      <w:r>
        <w:t>Linf reproduces the same factor hierarchy as RMSE and L1. Code A reports F = 48,930.1 for G, 48,383.5 for sigma, and 6,441.4 for mean_nsamp, with approximate partial eta squared values of 0.1637, 0.1622, and 0.0251. Design block, method, and theta_true are modest; theta_CV is tiny; p2 is nonsignificant; and the p1 effect is too small to be practically meaningful. The method × sigma interaction is again the largest (F = 499.9; partial eta squared = 0.00794).</w:t>
      </w:r>
    </w:p>
    <w:p>
      <w:r>
        <w:t>In these three-part compositions, Linf does not supply fully independent information from L1. Code D finds residual response rank two and exact duplication of the L1 and Linf F tests, consistent with L1 = 2 × Linf for zero-sum three-component errors. Linf remains interpretable as a worst-component error, but its inferential pattern cannot be treated as an independent confirmation of L1. A genuinely distinct worst-case assessment would require higher-dimensional compositions or a nonredundant loss function.</w:t>
      </w:r>
    </w:p>
    <w:p>
      <w:r>
        <w:t>The adjusted method comparison nevertheless gives a consistent substantive message. Methods v, iii, and i form the plausible leading set depending on condition; iv is intermediate; and ii is worst. Code B ties i and v, Code E places v and iii together, and Code C gives v a negligible 0.105% advantage over iii. Method i has the strongest directional evidence for resistance to high sigma, whereas v has the best overall cross-design record.</w:t>
      </w:r>
    </w:p>
    <w:p>
      <w:pPr>
        <w:pStyle w:val="Heading1"/>
      </w:pPr>
      <w:r>
        <w:t>6. Overall hierarchy of experimental influence</w:t>
      </w:r>
    </w:p>
    <w:p>
      <w:r>
        <w:t>Across all metrics, G and sigma are the dominant determinants of accuracy. G represents the information supplied by the group structure, while sigma represents noise or dispersion. Mean_nsamp is consistently third. Design block and theta_true have moderate but substantially smaller effects. Theta_CV is statistically detectable in some large-sample models but practically minor, and the linear p1 and p2 terms are usually null. This hierarchy is more stable than the precise method ranking.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cantSplit/>
        </w:trPr>
        <w:tc>
          <w:tcPr>
            <w:tcW w:type="dxa" w:w="1512"/>
            <w:shd w:fill="1F4E78"/>
            <w:tcMar>
              <w:top w:w="80" w:type="dxa"/>
              <w:start w:w="90" w:type="dxa"/>
              <w:bottom w:w="80" w:type="dxa"/>
              <w:end w:w="90" w:type="dxa"/>
            </w:tcMar>
            <w:vAlign w:val="center"/>
          </w:tcPr>
          <w:p>
            <w:pPr>
              <w:keepLines/>
              <w:jc w:val="center"/>
            </w:pPr>
            <w:r>
              <w:rPr>
                <w:rFonts w:ascii="Aptos" w:hAnsi="Aptos"/>
                <w:b/>
                <w:color w:val="FFFFFF"/>
                <w:sz w:val="16"/>
              </w:rPr>
              <w:t>Factor</w:t>
            </w:r>
          </w:p>
        </w:tc>
        <w:tc>
          <w:tcPr>
            <w:tcW w:type="dxa" w:w="1944"/>
            <w:shd w:fill="1F4E78"/>
            <w:tcMar>
              <w:top w:w="80" w:type="dxa"/>
              <w:start w:w="90" w:type="dxa"/>
              <w:bottom w:w="80" w:type="dxa"/>
              <w:end w:w="90" w:type="dxa"/>
            </w:tcMar>
            <w:vAlign w:val="center"/>
          </w:tcPr>
          <w:p>
            <w:pPr>
              <w:keepLines/>
              <w:jc w:val="center"/>
            </w:pPr>
            <w:r>
              <w:rPr>
                <w:rFonts w:ascii="Aptos" w:hAnsi="Aptos"/>
                <w:b/>
                <w:color w:val="FFFFFF"/>
                <w:sz w:val="16"/>
              </w:rPr>
              <w:t>Overall influence</w:t>
            </w:r>
          </w:p>
        </w:tc>
        <w:tc>
          <w:tcPr>
            <w:tcW w:type="dxa" w:w="3816"/>
            <w:shd w:fill="1F4E78"/>
            <w:tcMar>
              <w:top w:w="80" w:type="dxa"/>
              <w:start w:w="90" w:type="dxa"/>
              <w:bottom w:w="80" w:type="dxa"/>
              <w:end w:w="90" w:type="dxa"/>
            </w:tcMar>
            <w:vAlign w:val="center"/>
          </w:tcPr>
          <w:p>
            <w:pPr>
              <w:keepLines/>
              <w:jc w:val="center"/>
            </w:pPr>
            <w:r>
              <w:rPr>
                <w:rFonts w:ascii="Aptos" w:hAnsi="Aptos"/>
                <w:b/>
                <w:color w:val="FFFFFF"/>
                <w:sz w:val="16"/>
              </w:rPr>
              <w:t>Metric evidence</w:t>
            </w:r>
          </w:p>
        </w:tc>
        <w:tc>
          <w:tcPr>
            <w:tcW w:type="dxa" w:w="3168"/>
            <w:shd w:fill="1F4E78"/>
            <w:tcMar>
              <w:top w:w="80" w:type="dxa"/>
              <w:start w:w="90" w:type="dxa"/>
              <w:bottom w:w="80" w:type="dxa"/>
              <w:end w:w="90" w:type="dxa"/>
            </w:tcMar>
            <w:vAlign w:val="center"/>
          </w:tcPr>
          <w:p>
            <w:pPr>
              <w:keepLines/>
              <w:jc w:val="center"/>
            </w:pPr>
            <w:r>
              <w:rPr>
                <w:rFonts w:ascii="Aptos" w:hAnsi="Aptos"/>
                <w:b/>
                <w:color w:val="FFFFFF"/>
                <w:sz w:val="16"/>
              </w:rPr>
              <w:t>Method-dependence</w:t>
            </w:r>
          </w:p>
        </w:tc>
      </w:tr>
      <w:tr>
        <w:trPr>
          <w:cantSplit/>
        </w:trPr>
        <w:tc>
          <w:tcPr>
            <w:tcW w:type="dxa" w:w="1512"/>
            <w:tcMar>
              <w:top w:w="80" w:type="dxa"/>
              <w:start w:w="90" w:type="dxa"/>
              <w:bottom w:w="80" w:type="dxa"/>
              <w:end w:w="90" w:type="dxa"/>
            </w:tcMar>
            <w:vAlign w:val="center"/>
          </w:tcPr>
          <w:p>
            <w:pPr>
              <w:keepLines/>
              <w:spacing w:after="0" w:line="240" w:lineRule="auto"/>
              <w:jc w:val="left"/>
            </w:pPr>
            <w:r>
              <w:rPr>
                <w:rFonts w:ascii="Aptos" w:hAnsi="Aptos"/>
                <w:sz w:val="16"/>
              </w:rPr>
              <w:t>G</w:t>
            </w:r>
          </w:p>
        </w:tc>
        <w:tc>
          <w:tcPr>
            <w:tcW w:type="dxa" w:w="1944"/>
            <w:tcMar>
              <w:top w:w="80" w:type="dxa"/>
              <w:start w:w="90" w:type="dxa"/>
              <w:bottom w:w="80" w:type="dxa"/>
              <w:end w:w="90" w:type="dxa"/>
            </w:tcMar>
            <w:vAlign w:val="center"/>
          </w:tcPr>
          <w:p>
            <w:pPr>
              <w:keepLines/>
              <w:spacing w:after="0" w:line="240" w:lineRule="auto"/>
              <w:jc w:val="left"/>
            </w:pPr>
            <w:r>
              <w:rPr>
                <w:rFonts w:ascii="Aptos" w:hAnsi="Aptos"/>
                <w:sz w:val="16"/>
              </w:rPr>
              <w:t>Co-dominant</w:t>
            </w:r>
          </w:p>
        </w:tc>
        <w:tc>
          <w:tcPr>
            <w:tcW w:type="dxa" w:w="3816"/>
            <w:tcMar>
              <w:top w:w="80" w:type="dxa"/>
              <w:start w:w="90" w:type="dxa"/>
              <w:bottom w:w="80" w:type="dxa"/>
              <w:end w:w="90" w:type="dxa"/>
            </w:tcMar>
            <w:vAlign w:val="center"/>
          </w:tcPr>
          <w:p>
            <w:pPr>
              <w:keepLines/>
              <w:spacing w:after="0" w:line="240" w:lineRule="auto"/>
              <w:jc w:val="left"/>
            </w:pPr>
            <w:r>
              <w:rPr>
                <w:rFonts w:ascii="Aptos" w:hAnsi="Aptos"/>
                <w:sz w:val="16"/>
              </w:rPr>
              <w:t>Largest Code A effect for RMSE, L1, and Linf; Code E F = 90,046.7</w:t>
            </w:r>
          </w:p>
        </w:tc>
        <w:tc>
          <w:tcPr>
            <w:tcW w:type="dxa" w:w="3168"/>
            <w:tcMar>
              <w:top w:w="80" w:type="dxa"/>
              <w:start w:w="90" w:type="dxa"/>
              <w:bottom w:w="80" w:type="dxa"/>
              <w:end w:w="90" w:type="dxa"/>
            </w:tcMar>
            <w:vAlign w:val="center"/>
          </w:tcPr>
          <w:p>
            <w:pPr>
              <w:keepLines/>
              <w:spacing w:after="0" w:line="240" w:lineRule="auto"/>
              <w:jc w:val="left"/>
            </w:pPr>
            <w:r>
              <w:rPr>
                <w:rFonts w:ascii="Aptos" w:hAnsi="Aptos"/>
                <w:sz w:val="16"/>
              </w:rPr>
              <w:t>Method × G significant; all methods improve as G increases</w:t>
            </w:r>
          </w:p>
        </w:tc>
      </w:tr>
      <w:tr>
        <w:trPr>
          <w:cantSplit/>
        </w:trPr>
        <w:tc>
          <w:tcPr>
            <w:tcW w:type="dxa" w:w="1512"/>
            <w:shd w:fill="F2F6FA"/>
            <w:tcMar>
              <w:top w:w="80" w:type="dxa"/>
              <w:start w:w="90" w:type="dxa"/>
              <w:bottom w:w="80" w:type="dxa"/>
              <w:end w:w="90" w:type="dxa"/>
            </w:tcMar>
            <w:vAlign w:val="center"/>
          </w:tcPr>
          <w:p>
            <w:pPr>
              <w:keepLines/>
              <w:spacing w:after="0" w:line="240" w:lineRule="auto"/>
              <w:jc w:val="left"/>
            </w:pPr>
            <w:r>
              <w:rPr>
                <w:rFonts w:ascii="Aptos" w:hAnsi="Aptos"/>
                <w:sz w:val="16"/>
              </w:rPr>
              <w:t>sigma</w:t>
            </w:r>
          </w:p>
        </w:tc>
        <w:tc>
          <w:tcPr>
            <w:tcW w:type="dxa" w:w="1944"/>
            <w:shd w:fill="F2F6FA"/>
            <w:tcMar>
              <w:top w:w="80" w:type="dxa"/>
              <w:start w:w="90" w:type="dxa"/>
              <w:bottom w:w="80" w:type="dxa"/>
              <w:end w:w="90" w:type="dxa"/>
            </w:tcMar>
            <w:vAlign w:val="center"/>
          </w:tcPr>
          <w:p>
            <w:pPr>
              <w:keepLines/>
              <w:spacing w:after="0" w:line="240" w:lineRule="auto"/>
              <w:jc w:val="left"/>
            </w:pPr>
            <w:r>
              <w:rPr>
                <w:rFonts w:ascii="Aptos" w:hAnsi="Aptos"/>
                <w:sz w:val="16"/>
              </w:rPr>
              <w:t>Co-dominant; primary driver of gaps</w:t>
            </w:r>
          </w:p>
        </w:tc>
        <w:tc>
          <w:tcPr>
            <w:tcW w:type="dxa" w:w="3816"/>
            <w:shd w:fill="F2F6FA"/>
            <w:tcMar>
              <w:top w:w="80" w:type="dxa"/>
              <w:start w:w="90" w:type="dxa"/>
              <w:bottom w:w="80" w:type="dxa"/>
              <w:end w:w="90" w:type="dxa"/>
            </w:tcMar>
            <w:vAlign w:val="center"/>
          </w:tcPr>
          <w:p>
            <w:pPr>
              <w:keepLines/>
              <w:spacing w:after="0" w:line="240" w:lineRule="auto"/>
              <w:jc w:val="left"/>
            </w:pPr>
            <w:r>
              <w:rPr>
                <w:rFonts w:ascii="Aptos" w:hAnsi="Aptos"/>
                <w:sz w:val="16"/>
              </w:rPr>
              <w:t>Near G in A; Code E F = 81,932.4; largest Code D median Pillai</w:t>
            </w:r>
          </w:p>
        </w:tc>
        <w:tc>
          <w:tcPr>
            <w:tcW w:type="dxa" w:w="3168"/>
            <w:shd w:fill="F2F6FA"/>
            <w:tcMar>
              <w:top w:w="80" w:type="dxa"/>
              <w:start w:w="90" w:type="dxa"/>
              <w:bottom w:w="80" w:type="dxa"/>
              <w:end w:w="90" w:type="dxa"/>
            </w:tcMar>
            <w:vAlign w:val="center"/>
          </w:tcPr>
          <w:p>
            <w:pPr>
              <w:keepLines/>
              <w:spacing w:after="0" w:line="240" w:lineRule="auto"/>
              <w:jc w:val="left"/>
            </w:pPr>
            <w:r>
              <w:rPr>
                <w:rFonts w:ascii="Aptos" w:hAnsi="Aptos"/>
                <w:sz w:val="16"/>
              </w:rPr>
              <w:t>Largest method interaction; i degrades least, ii most</w:t>
            </w:r>
          </w:p>
        </w:tc>
      </w:tr>
      <w:tr>
        <w:trPr>
          <w:cantSplit/>
        </w:trPr>
        <w:tc>
          <w:tcPr>
            <w:tcW w:type="dxa" w:w="1512"/>
            <w:tcMar>
              <w:top w:w="80" w:type="dxa"/>
              <w:start w:w="90" w:type="dxa"/>
              <w:bottom w:w="80" w:type="dxa"/>
              <w:end w:w="90" w:type="dxa"/>
            </w:tcMar>
            <w:vAlign w:val="center"/>
          </w:tcPr>
          <w:p>
            <w:pPr>
              <w:keepLines/>
              <w:spacing w:after="0" w:line="240" w:lineRule="auto"/>
              <w:jc w:val="left"/>
            </w:pPr>
            <w:r>
              <w:rPr>
                <w:rFonts w:ascii="Aptos" w:hAnsi="Aptos"/>
                <w:sz w:val="16"/>
              </w:rPr>
              <w:t>mean_nsamp</w:t>
            </w:r>
          </w:p>
        </w:tc>
        <w:tc>
          <w:tcPr>
            <w:tcW w:type="dxa" w:w="1944"/>
            <w:tcMar>
              <w:top w:w="80" w:type="dxa"/>
              <w:start w:w="90" w:type="dxa"/>
              <w:bottom w:w="80" w:type="dxa"/>
              <w:end w:w="90" w:type="dxa"/>
            </w:tcMar>
            <w:vAlign w:val="center"/>
          </w:tcPr>
          <w:p>
            <w:pPr>
              <w:keepLines/>
              <w:spacing w:after="0" w:line="240" w:lineRule="auto"/>
              <w:jc w:val="left"/>
            </w:pPr>
            <w:r>
              <w:rPr>
                <w:rFonts w:ascii="Aptos" w:hAnsi="Aptos"/>
                <w:sz w:val="16"/>
              </w:rPr>
              <w:t>Clear third tier</w:t>
            </w:r>
          </w:p>
        </w:tc>
        <w:tc>
          <w:tcPr>
            <w:tcW w:type="dxa" w:w="3816"/>
            <w:tcMar>
              <w:top w:w="80" w:type="dxa"/>
              <w:start w:w="90" w:type="dxa"/>
              <w:bottom w:w="80" w:type="dxa"/>
              <w:end w:w="90" w:type="dxa"/>
            </w:tcMar>
            <w:vAlign w:val="center"/>
          </w:tcPr>
          <w:p>
            <w:pPr>
              <w:keepLines/>
              <w:spacing w:after="0" w:line="240" w:lineRule="auto"/>
              <w:jc w:val="left"/>
            </w:pPr>
            <w:r>
              <w:rPr>
                <w:rFonts w:ascii="Aptos" w:hAnsi="Aptos"/>
                <w:sz w:val="16"/>
              </w:rPr>
              <w:t>A partial eta squared 0.025–0.050; Code E F = 14,182.6</w:t>
            </w:r>
          </w:p>
        </w:tc>
        <w:tc>
          <w:tcPr>
            <w:tcW w:type="dxa" w:w="3168"/>
            <w:tcMar>
              <w:top w:w="80" w:type="dxa"/>
              <w:start w:w="90" w:type="dxa"/>
              <w:bottom w:w="80" w:type="dxa"/>
              <w:end w:w="90" w:type="dxa"/>
            </w:tcMar>
            <w:vAlign w:val="center"/>
          </w:tcPr>
          <w:p>
            <w:pPr>
              <w:keepLines/>
              <w:spacing w:after="0" w:line="240" w:lineRule="auto"/>
              <w:jc w:val="left"/>
            </w:pPr>
            <w:r>
              <w:rPr>
                <w:rFonts w:ascii="Aptos" w:hAnsi="Aptos"/>
                <w:sz w:val="16"/>
              </w:rPr>
              <w:t>iv and v generally gain most; ii gains least</w:t>
            </w:r>
          </w:p>
        </w:tc>
      </w:tr>
      <w:tr>
        <w:trPr>
          <w:cantSplit/>
        </w:trPr>
        <w:tc>
          <w:tcPr>
            <w:tcW w:type="dxa" w:w="1512"/>
            <w:shd w:fill="F2F6FA"/>
            <w:tcMar>
              <w:top w:w="80" w:type="dxa"/>
              <w:start w:w="90" w:type="dxa"/>
              <w:bottom w:w="80" w:type="dxa"/>
              <w:end w:w="90" w:type="dxa"/>
            </w:tcMar>
            <w:vAlign w:val="center"/>
          </w:tcPr>
          <w:p>
            <w:pPr>
              <w:keepLines/>
              <w:spacing w:after="0" w:line="240" w:lineRule="auto"/>
              <w:jc w:val="left"/>
            </w:pPr>
            <w:r>
              <w:rPr>
                <w:rFonts w:ascii="Aptos" w:hAnsi="Aptos"/>
                <w:sz w:val="16"/>
              </w:rPr>
              <w:t>design_block</w:t>
            </w:r>
          </w:p>
        </w:tc>
        <w:tc>
          <w:tcPr>
            <w:tcW w:type="dxa" w:w="1944"/>
            <w:shd w:fill="F2F6FA"/>
            <w:tcMar>
              <w:top w:w="80" w:type="dxa"/>
              <w:start w:w="90" w:type="dxa"/>
              <w:bottom w:w="80" w:type="dxa"/>
              <w:end w:w="90" w:type="dxa"/>
            </w:tcMar>
            <w:vAlign w:val="center"/>
          </w:tcPr>
          <w:p>
            <w:pPr>
              <w:keepLines/>
              <w:spacing w:after="0" w:line="240" w:lineRule="auto"/>
              <w:jc w:val="left"/>
            </w:pPr>
            <w:r>
              <w:rPr>
                <w:rFonts w:ascii="Aptos" w:hAnsi="Aptos"/>
                <w:sz w:val="16"/>
              </w:rPr>
              <w:t>Moderate</w:t>
            </w:r>
          </w:p>
        </w:tc>
        <w:tc>
          <w:tcPr>
            <w:tcW w:type="dxa" w:w="3816"/>
            <w:shd w:fill="F2F6FA"/>
            <w:tcMar>
              <w:top w:w="80" w:type="dxa"/>
              <w:start w:w="90" w:type="dxa"/>
              <w:bottom w:w="80" w:type="dxa"/>
              <w:end w:w="90" w:type="dxa"/>
            </w:tcMar>
            <w:vAlign w:val="center"/>
          </w:tcPr>
          <w:p>
            <w:pPr>
              <w:keepLines/>
              <w:spacing w:after="0" w:line="240" w:lineRule="auto"/>
              <w:jc w:val="left"/>
            </w:pPr>
            <w:r>
              <w:rPr>
                <w:rFonts w:ascii="Aptos" w:hAnsi="Aptos"/>
                <w:sz w:val="16"/>
              </w:rPr>
              <w:t>Important in A/B and second tier in D</w:t>
            </w:r>
          </w:p>
        </w:tc>
        <w:tc>
          <w:tcPr>
            <w:tcW w:type="dxa" w:w="3168"/>
            <w:shd w:fill="F2F6FA"/>
            <w:tcMar>
              <w:top w:w="80" w:type="dxa"/>
              <w:start w:w="90" w:type="dxa"/>
              <w:bottom w:w="80" w:type="dxa"/>
              <w:end w:w="90" w:type="dxa"/>
            </w:tcMar>
            <w:vAlign w:val="center"/>
          </w:tcPr>
          <w:p>
            <w:pPr>
              <w:keepLines/>
              <w:spacing w:after="0" w:line="240" w:lineRule="auto"/>
              <w:jc w:val="left"/>
            </w:pPr>
            <w:r>
              <w:rPr>
                <w:rFonts w:ascii="Aptos" w:hAnsi="Aptos"/>
                <w:sz w:val="16"/>
              </w:rPr>
              <w:t>Some distribution-specific separation; primary for v versus iv in D</w:t>
            </w:r>
          </w:p>
        </w:tc>
      </w:tr>
      <w:tr>
        <w:trPr>
          <w:cantSplit/>
        </w:trPr>
        <w:tc>
          <w:tcPr>
            <w:tcW w:type="dxa" w:w="1512"/>
            <w:tcMar>
              <w:top w:w="80" w:type="dxa"/>
              <w:start w:w="90" w:type="dxa"/>
              <w:bottom w:w="80" w:type="dxa"/>
              <w:end w:w="90" w:type="dxa"/>
            </w:tcMar>
            <w:vAlign w:val="center"/>
          </w:tcPr>
          <w:p>
            <w:pPr>
              <w:keepLines/>
              <w:spacing w:after="0" w:line="240" w:lineRule="auto"/>
              <w:jc w:val="left"/>
            </w:pPr>
            <w:r>
              <w:rPr>
                <w:rFonts w:ascii="Aptos" w:hAnsi="Aptos"/>
                <w:sz w:val="16"/>
              </w:rPr>
              <w:t>theta_true</w:t>
            </w:r>
          </w:p>
        </w:tc>
        <w:tc>
          <w:tcPr>
            <w:tcW w:type="dxa" w:w="1944"/>
            <w:tcMar>
              <w:top w:w="80" w:type="dxa"/>
              <w:start w:w="90" w:type="dxa"/>
              <w:bottom w:w="80" w:type="dxa"/>
              <w:end w:w="90" w:type="dxa"/>
            </w:tcMar>
            <w:vAlign w:val="center"/>
          </w:tcPr>
          <w:p>
            <w:pPr>
              <w:keepLines/>
              <w:spacing w:after="0" w:line="240" w:lineRule="auto"/>
              <w:jc w:val="left"/>
            </w:pPr>
            <w:r>
              <w:rPr>
                <w:rFonts w:ascii="Aptos" w:hAnsi="Aptos"/>
                <w:sz w:val="16"/>
              </w:rPr>
              <w:t>Moderate to small</w:t>
            </w:r>
          </w:p>
        </w:tc>
        <w:tc>
          <w:tcPr>
            <w:tcW w:type="dxa" w:w="3816"/>
            <w:tcMar>
              <w:top w:w="80" w:type="dxa"/>
              <w:start w:w="90" w:type="dxa"/>
              <w:bottom w:w="80" w:type="dxa"/>
              <w:end w:w="90" w:type="dxa"/>
            </w:tcMar>
            <w:vAlign w:val="center"/>
          </w:tcPr>
          <w:p>
            <w:pPr>
              <w:keepLines/>
              <w:spacing w:after="0" w:line="240" w:lineRule="auto"/>
              <w:jc w:val="left"/>
            </w:pPr>
            <w:r>
              <w:rPr>
                <w:rFonts w:ascii="Aptos" w:hAnsi="Aptos"/>
                <w:sz w:val="16"/>
              </w:rPr>
              <w:t>Below design block in most models</w:t>
            </w:r>
          </w:p>
        </w:tc>
        <w:tc>
          <w:tcPr>
            <w:tcW w:type="dxa" w:w="3168"/>
            <w:tcMar>
              <w:top w:w="80" w:type="dxa"/>
              <w:start w:w="90" w:type="dxa"/>
              <w:bottom w:w="80" w:type="dxa"/>
              <w:end w:w="90" w:type="dxa"/>
            </w:tcMar>
            <w:vAlign w:val="center"/>
          </w:tcPr>
          <w:p>
            <w:pPr>
              <w:keepLines/>
              <w:spacing w:after="0" w:line="240" w:lineRule="auto"/>
              <w:jc w:val="left"/>
            </w:pPr>
            <w:r>
              <w:rPr>
                <w:rFonts w:ascii="Aptos" w:hAnsi="Aptos"/>
                <w:sz w:val="16"/>
              </w:rPr>
              <w:t>All methods improve; ii often gains most</w:t>
            </w:r>
          </w:p>
        </w:tc>
      </w:tr>
      <w:tr>
        <w:trPr>
          <w:cantSplit/>
        </w:trPr>
        <w:tc>
          <w:tcPr>
            <w:tcW w:type="dxa" w:w="1512"/>
            <w:shd w:fill="F2F6FA"/>
            <w:tcMar>
              <w:top w:w="80" w:type="dxa"/>
              <w:start w:w="90" w:type="dxa"/>
              <w:bottom w:w="80" w:type="dxa"/>
              <w:end w:w="90" w:type="dxa"/>
            </w:tcMar>
            <w:vAlign w:val="center"/>
          </w:tcPr>
          <w:p>
            <w:pPr>
              <w:keepLines/>
              <w:spacing w:after="0" w:line="240" w:lineRule="auto"/>
              <w:jc w:val="left"/>
            </w:pPr>
            <w:r>
              <w:rPr>
                <w:rFonts w:ascii="Aptos" w:hAnsi="Aptos"/>
                <w:sz w:val="16"/>
              </w:rPr>
              <w:t>theta_CV</w:t>
            </w:r>
          </w:p>
        </w:tc>
        <w:tc>
          <w:tcPr>
            <w:tcW w:type="dxa" w:w="1944"/>
            <w:shd w:fill="F2F6FA"/>
            <w:tcMar>
              <w:top w:w="80" w:type="dxa"/>
              <w:start w:w="90" w:type="dxa"/>
              <w:bottom w:w="80" w:type="dxa"/>
              <w:end w:w="90" w:type="dxa"/>
            </w:tcMar>
            <w:vAlign w:val="center"/>
          </w:tcPr>
          <w:p>
            <w:pPr>
              <w:keepLines/>
              <w:spacing w:after="0" w:line="240" w:lineRule="auto"/>
              <w:jc w:val="left"/>
            </w:pPr>
            <w:r>
              <w:rPr>
                <w:rFonts w:ascii="Aptos" w:hAnsi="Aptos"/>
                <w:sz w:val="16"/>
              </w:rPr>
              <w:t>Very small</w:t>
            </w:r>
          </w:p>
        </w:tc>
        <w:tc>
          <w:tcPr>
            <w:tcW w:type="dxa" w:w="3816"/>
            <w:shd w:fill="F2F6FA"/>
            <w:tcMar>
              <w:top w:w="80" w:type="dxa"/>
              <w:start w:w="90" w:type="dxa"/>
              <w:bottom w:w="80" w:type="dxa"/>
              <w:end w:w="90" w:type="dxa"/>
            </w:tcMar>
            <w:vAlign w:val="center"/>
          </w:tcPr>
          <w:p>
            <w:pPr>
              <w:keepLines/>
              <w:spacing w:after="0" w:line="240" w:lineRule="auto"/>
              <w:jc w:val="left"/>
            </w:pPr>
            <w:r>
              <w:rPr>
                <w:rFonts w:ascii="Aptos" w:hAnsi="Aptos"/>
                <w:sz w:val="16"/>
              </w:rPr>
              <w:t>A partial eta squared 0.0005–0.0008; E F = 169.4</w:t>
            </w:r>
          </w:p>
        </w:tc>
        <w:tc>
          <w:tcPr>
            <w:tcW w:type="dxa" w:w="3168"/>
            <w:shd w:fill="F2F6FA"/>
            <w:tcMar>
              <w:top w:w="80" w:type="dxa"/>
              <w:start w:w="90" w:type="dxa"/>
              <w:bottom w:w="80" w:type="dxa"/>
              <w:end w:w="90" w:type="dxa"/>
            </w:tcMar>
            <w:vAlign w:val="center"/>
          </w:tcPr>
          <w:p>
            <w:pPr>
              <w:keepLines/>
              <w:spacing w:after="0" w:line="240" w:lineRule="auto"/>
              <w:jc w:val="left"/>
            </w:pPr>
            <w:r>
              <w:rPr>
                <w:rFonts w:ascii="Aptos" w:hAnsi="Aptos"/>
                <w:sz w:val="16"/>
              </w:rPr>
              <w:t>Weak or sparse method interaction</w:t>
            </w:r>
          </w:p>
        </w:tc>
      </w:tr>
      <w:tr>
        <w:trPr>
          <w:cantSplit/>
        </w:trPr>
        <w:tc>
          <w:tcPr>
            <w:tcW w:type="dxa" w:w="1512"/>
            <w:tcMar>
              <w:top w:w="80" w:type="dxa"/>
              <w:start w:w="90" w:type="dxa"/>
              <w:bottom w:w="80" w:type="dxa"/>
              <w:end w:w="90" w:type="dxa"/>
            </w:tcMar>
            <w:vAlign w:val="center"/>
          </w:tcPr>
          <w:p>
            <w:pPr>
              <w:keepLines/>
              <w:spacing w:after="0" w:line="240" w:lineRule="auto"/>
              <w:jc w:val="left"/>
            </w:pPr>
            <w:r>
              <w:rPr>
                <w:rFonts w:ascii="Aptos" w:hAnsi="Aptos"/>
                <w:sz w:val="16"/>
              </w:rPr>
              <w:t>p1, p2</w:t>
            </w:r>
          </w:p>
        </w:tc>
        <w:tc>
          <w:tcPr>
            <w:tcW w:type="dxa" w:w="1944"/>
            <w:tcMar>
              <w:top w:w="80" w:type="dxa"/>
              <w:start w:w="90" w:type="dxa"/>
              <w:bottom w:w="80" w:type="dxa"/>
              <w:end w:w="90" w:type="dxa"/>
            </w:tcMar>
            <w:vAlign w:val="center"/>
          </w:tcPr>
          <w:p>
            <w:pPr>
              <w:keepLines/>
              <w:spacing w:after="0" w:line="240" w:lineRule="auto"/>
              <w:jc w:val="left"/>
            </w:pPr>
            <w:r>
              <w:rPr>
                <w:rFonts w:ascii="Aptos" w:hAnsi="Aptos"/>
                <w:sz w:val="16"/>
              </w:rPr>
              <w:t>Linear effects negligible</w:t>
            </w:r>
          </w:p>
        </w:tc>
        <w:tc>
          <w:tcPr>
            <w:tcW w:type="dxa" w:w="3816"/>
            <w:tcMar>
              <w:top w:w="80" w:type="dxa"/>
              <w:start w:w="90" w:type="dxa"/>
              <w:bottom w:w="80" w:type="dxa"/>
              <w:end w:w="90" w:type="dxa"/>
            </w:tcMar>
            <w:vAlign w:val="center"/>
          </w:tcPr>
          <w:p>
            <w:pPr>
              <w:keepLines/>
              <w:spacing w:after="0" w:line="240" w:lineRule="auto"/>
              <w:jc w:val="left"/>
            </w:pPr>
            <w:r>
              <w:rPr>
                <w:rFonts w:ascii="Aptos" w:hAnsi="Aptos"/>
                <w:sz w:val="16"/>
              </w:rPr>
              <w:t>Usually nonsignificant or trivial in A/B/D</w:t>
            </w:r>
          </w:p>
        </w:tc>
        <w:tc>
          <w:tcPr>
            <w:tcW w:type="dxa" w:w="3168"/>
            <w:tcMar>
              <w:top w:w="80" w:type="dxa"/>
              <w:start w:w="90" w:type="dxa"/>
              <w:bottom w:w="80" w:type="dxa"/>
              <w:end w:w="90" w:type="dxa"/>
            </w:tcMar>
            <w:vAlign w:val="center"/>
          </w:tcPr>
          <w:p>
            <w:pPr>
              <w:keepLines/>
              <w:spacing w:after="0" w:line="240" w:lineRule="auto"/>
              <w:jc w:val="left"/>
            </w:pPr>
            <w:r>
              <w:rPr>
                <w:rFonts w:ascii="Aptos" w:hAnsi="Aptos"/>
                <w:sz w:val="16"/>
              </w:rPr>
              <w:t>Nonlinear geometry is visible in Code E surfaces, especially near boundaries</w:t>
            </w:r>
          </w:p>
        </w:tc>
      </w:tr>
    </w:tbl>
    <w:p>
      <w:pPr>
        <w:spacing w:after="20"/>
      </w:pPr>
    </w:p>
    <w:p>
      <w:pPr>
        <w:pStyle w:val="Heading2"/>
      </w:pPr>
      <w:r>
        <w:t>Direction and interaction hierarchy</w:t>
      </w:r>
    </w:p>
    <w:p>
      <w:r>
        <w:t>Increasing G, mean_nsamp, and theta_true generally reduces error, whereas increasing sigma increases it. The largest conditional change in relative method performance is consistently method × sigma, followed by method × G, method × mean_nsamp, method × theta_true, and method × design block. Interactions with theta_CV and the linear p1/p2 terms are negligible. Code D does not fit factor-by-factor or method-by-factor interactions in the original-data sense; it tests whether already-constructed pairwise gaps vary additively by each factor. It therefore establishes sensitivity but cannot locate a crossover or prove a niche reversal.</w:t>
      </w:r>
    </w:p>
    <w:p>
      <w:pPr>
        <w:pStyle w:val="Heading1"/>
      </w:pPr>
      <w:r>
        <w:t>7. Simplex geometry, random effects, and diagnostics</w:t>
      </w:r>
    </w:p>
    <w:p>
      <w:r>
        <w:t>The linear p1 and p2 results should not be interpreted as evidence that composition is irrelevant. Code E demonstrates nonlinear p1–p2 surfaces over the triangular simplex. Method i has the most localized morphology, including a positive-error region near p1 ≈ 0.2 and p2 ≈ 0.2. Method ii follows a broad adverse gradient. Methods iii, iv, and v generally occupy lower-error regions, with iv and v displaying similar surface shapes. The v–iii gap is smallest through the central simplex and increases near simultaneously large p1 and p2; the increase is strongest for L1, then Linf, and smallest for RMSE.</w:t>
      </w:r>
    </w:p>
    <w:p>
      <w:r>
        <w:t>The GAM basis dimension k = 30 is adequate for the global model: all method smooths have k-index 0.98 with nonsignificant diagnostic p-values, and their effective degrees of freedom are well below 29. The v–iii difference smooths also pass the k-index test, although the L1 smooth uses 26.2 of 29 available degrees of freedom and warrants a k = 40 or 50 sensitivity fit. These diagnostics support the broad surface morphology, not the Gaussian variance assumptions.</w:t>
      </w:r>
    </w:p>
    <w:p>
      <w:r>
        <w:t>Code B estimates a simplex_id random-intercept variance of 0.0005266 and residual variance of 0.0069780, yielding an intraclass correlation near 7%. Persistent differences among simplex environments are therefore real but not dominant. Because the model includes only a random intercept, it does not estimate how often method rankings reverse across individual simplexes. A random method-slope model would be required for that purpose.</w:t>
      </w:r>
    </w:p>
    <w:p>
      <w:r>
        <w:t>Residual diagnostics qualify the inferential precision. The Code E GAMs show right-skewed residuals, upper-tail departures, and fitted-value-dependent variance; Code B reports scaled residuals as large as 18. Log1p transformation reduces skewness but does not eliminate heteroscedasticity. Conventional p-values should therefore be regarded as descriptive in the presence of these very large samples, while ranking conclusions should be checked using scenario-level bootstrap intervals, robust or location-scale models, and signed method-contrast surfaces.</w:t>
      </w:r>
    </w:p>
    <w:p>
      <w:pPr>
        <w:pStyle w:val="Heading1"/>
      </w:pPr>
      <w:r>
        <w:t>8. Proportion-specific interpretation</w:t>
      </w:r>
    </w:p>
    <w:p>
      <w:r>
        <w:t>Proportions are bounded in [0, 1] and constrained to sum to one, so component variances depend on the true composition and boundary observations can generate skewness, point masses, and unequal residual variance. RMSE emphasizes larger deviations, L1 aggregates absolute deviations, and Linf isolates the largest component error. These properties make the significant metric × method interaction scientifically plausible: an estimator may distribute a fixed total error differently across components even when its overall magnitude is similar.</w:t>
      </w:r>
    </w:p>
    <w:p>
      <w:r>
        <w:t>The error outcomes are modeled primarily through log1p transformations. A coefficient b represents a multiplicative change of exp(b) in 1 + error, not necessarily an equal percentage change in raw error. Code C instead uses log(error + 10⁻⁶), so its exponentiated differences are geometric-mean ratios of epsilon-shifted errors. Code D, as implemented, analyzes raw pairwise differences rather than log-ratios. These scale differences are an important reason to emphasize ordering and robustness of conclusions rather than pool coefficients numerically.</w:t>
      </w:r>
    </w:p>
    <w:p>
      <w:r>
        <w:t>Arcsine-square-root or logit transformations would apply to the component proportions, not directly to RMSE, L1, or Linf. For compositional vectors, additive, centered, or isometric log-ratio coordinates more naturally respect simplex geometry, provided zeros and ones are handled transparently. A useful sensitivity analysis would compare the current error-scale models with log-ratio-coordinate losses and boundary-stratified residual diagnostics.</w:t>
      </w:r>
    </w:p>
    <w:p>
      <w:pPr>
        <w:pStyle w:val="Heading1"/>
      </w:pPr>
      <w:r>
        <w:t>9. Integrated recommendation and limitations</w:t>
      </w:r>
    </w:p>
    <w:p>
      <w:r>
        <w:t>The best-supported recommendation is to use method v as the general estimator. It is the only method that remains in the leading group under the factorial reference analysis, the mixed-effects model, the matched global log-ratio analysis, and the nonlinear simplex analysis. Method iii should be retained as a practically equivalent alternative, especially when RMSE is the primary objective; its global disadvantage relative to v is at most 0.16% in Code C and it has the best adjusted RMSE in Code E. Method iv is a defensible stable third choice. Method i is preferable to iv only when the operating conditions place special value on high-sigma robustness or match the Codes A/B reference regimes. Method ii should not be selected on accuracy grounds without new condition-specific evidence showing a material reversal.</w:t>
      </w:r>
    </w:p>
    <w:p>
      <w:pPr>
        <w:pStyle w:val="Heading2"/>
      </w:pPr>
      <w:r>
        <w:t>Ranking rationale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6"/>
        <w:gridCol w:w="1666"/>
        <w:gridCol w:w="1666"/>
        <w:gridCol w:w="1666"/>
        <w:gridCol w:w="1666"/>
        <w:gridCol w:w="1666"/>
      </w:tblGrid>
      <w:tr>
        <w:trPr>
          <w:tblHeader w:val="true"/>
          <w:cantSplit/>
        </w:trPr>
        <w:tc>
          <w:tcPr>
            <w:tcW w:type="dxa" w:w="3096"/>
            <w:shd w:fill="1F4E78"/>
            <w:tcMar>
              <w:top w:w="80" w:type="dxa"/>
              <w:start w:w="90" w:type="dxa"/>
              <w:bottom w:w="80" w:type="dxa"/>
              <w:end w:w="90" w:type="dxa"/>
            </w:tcMar>
            <w:vAlign w:val="center"/>
          </w:tcPr>
          <w:p>
            <w:pPr>
              <w:keepLines/>
              <w:jc w:val="center"/>
            </w:pPr>
            <w:r>
              <w:rPr>
                <w:rFonts w:ascii="Aptos" w:hAnsi="Aptos"/>
                <w:b/>
                <w:color w:val="FFFFFF"/>
                <w:sz w:val="16"/>
              </w:rPr>
              <w:t>Criterion</w:t>
            </w:r>
          </w:p>
        </w:tc>
        <w:tc>
          <w:tcPr>
            <w:tcW w:type="dxa" w:w="1368"/>
            <w:shd w:fill="1F4E78"/>
            <w:tcMar>
              <w:top w:w="80" w:type="dxa"/>
              <w:start w:w="90" w:type="dxa"/>
              <w:bottom w:w="80" w:type="dxa"/>
              <w:end w:w="90" w:type="dxa"/>
            </w:tcMar>
            <w:vAlign w:val="center"/>
          </w:tcPr>
          <w:p>
            <w:pPr>
              <w:keepLines/>
              <w:jc w:val="center"/>
            </w:pPr>
            <w:r>
              <w:rPr>
                <w:rFonts w:ascii="Aptos" w:hAnsi="Aptos"/>
                <w:b/>
                <w:color w:val="FFFFFF"/>
                <w:sz w:val="16"/>
              </w:rPr>
              <w:t>v</w:t>
            </w:r>
          </w:p>
        </w:tc>
        <w:tc>
          <w:tcPr>
            <w:tcW w:type="dxa" w:w="1368"/>
            <w:shd w:fill="1F4E78"/>
            <w:tcMar>
              <w:top w:w="80" w:type="dxa"/>
              <w:start w:w="90" w:type="dxa"/>
              <w:bottom w:w="80" w:type="dxa"/>
              <w:end w:w="90" w:type="dxa"/>
            </w:tcMar>
            <w:vAlign w:val="center"/>
          </w:tcPr>
          <w:p>
            <w:pPr>
              <w:keepLines/>
              <w:jc w:val="center"/>
            </w:pPr>
            <w:r>
              <w:rPr>
                <w:rFonts w:ascii="Aptos" w:hAnsi="Aptos"/>
                <w:b/>
                <w:color w:val="FFFFFF"/>
                <w:sz w:val="16"/>
              </w:rPr>
              <w:t>iii</w:t>
            </w:r>
          </w:p>
        </w:tc>
        <w:tc>
          <w:tcPr>
            <w:tcW w:type="dxa" w:w="1368"/>
            <w:shd w:fill="1F4E78"/>
            <w:tcMar>
              <w:top w:w="80" w:type="dxa"/>
              <w:start w:w="90" w:type="dxa"/>
              <w:bottom w:w="80" w:type="dxa"/>
              <w:end w:w="90" w:type="dxa"/>
            </w:tcMar>
            <w:vAlign w:val="center"/>
          </w:tcPr>
          <w:p>
            <w:pPr>
              <w:keepLines/>
              <w:jc w:val="center"/>
            </w:pPr>
            <w:r>
              <w:rPr>
                <w:rFonts w:ascii="Aptos" w:hAnsi="Aptos"/>
                <w:b/>
                <w:color w:val="FFFFFF"/>
                <w:sz w:val="16"/>
              </w:rPr>
              <w:t>iv</w:t>
            </w:r>
          </w:p>
        </w:tc>
        <w:tc>
          <w:tcPr>
            <w:tcW w:type="dxa" w:w="1368"/>
            <w:shd w:fill="1F4E78"/>
            <w:tcMar>
              <w:top w:w="80" w:type="dxa"/>
              <w:start w:w="90" w:type="dxa"/>
              <w:bottom w:w="80" w:type="dxa"/>
              <w:end w:w="90" w:type="dxa"/>
            </w:tcMar>
            <w:vAlign w:val="center"/>
          </w:tcPr>
          <w:p>
            <w:pPr>
              <w:keepLines/>
              <w:jc w:val="center"/>
            </w:pPr>
            <w:r>
              <w:rPr>
                <w:rFonts w:ascii="Aptos" w:hAnsi="Aptos"/>
                <w:b/>
                <w:color w:val="FFFFFF"/>
                <w:sz w:val="16"/>
              </w:rPr>
              <w:t>i</w:t>
            </w:r>
          </w:p>
        </w:tc>
        <w:tc>
          <w:tcPr>
            <w:tcW w:type="dxa" w:w="1944"/>
            <w:shd w:fill="1F4E78"/>
            <w:tcMar>
              <w:top w:w="80" w:type="dxa"/>
              <w:start w:w="90" w:type="dxa"/>
              <w:bottom w:w="80" w:type="dxa"/>
              <w:end w:w="90" w:type="dxa"/>
            </w:tcMar>
            <w:vAlign w:val="center"/>
          </w:tcPr>
          <w:p>
            <w:pPr>
              <w:keepLines/>
              <w:jc w:val="center"/>
            </w:pPr>
            <w:r>
              <w:rPr>
                <w:rFonts w:ascii="Aptos" w:hAnsi="Aptos"/>
                <w:b/>
                <w:color w:val="FFFFFF"/>
                <w:sz w:val="16"/>
              </w:rPr>
              <w:t>ii</w:t>
            </w:r>
          </w:p>
        </w:tc>
      </w:tr>
      <w:tr>
        <w:trPr>
          <w:cantSplit/>
        </w:trPr>
        <w:tc>
          <w:tcPr>
            <w:tcW w:type="dxa" w:w="3096"/>
            <w:tcMar>
              <w:top w:w="80" w:type="dxa"/>
              <w:start w:w="90" w:type="dxa"/>
              <w:bottom w:w="80" w:type="dxa"/>
              <w:end w:w="90" w:type="dxa"/>
            </w:tcMar>
            <w:vAlign w:val="center"/>
          </w:tcPr>
          <w:p>
            <w:pPr>
              <w:keepLines/>
              <w:spacing w:after="0" w:line="240" w:lineRule="auto"/>
              <w:jc w:val="left"/>
            </w:pPr>
            <w:r>
              <w:rPr>
                <w:rFonts w:ascii="Aptos" w:hAnsi="Aptos"/>
                <w:sz w:val="16"/>
              </w:rPr>
              <w:t>Global matched accuracy</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1</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2</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3</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4</w:t>
            </w:r>
          </w:p>
        </w:tc>
        <w:tc>
          <w:tcPr>
            <w:tcW w:type="dxa" w:w="1944"/>
            <w:tcMar>
              <w:top w:w="80" w:type="dxa"/>
              <w:start w:w="90" w:type="dxa"/>
              <w:bottom w:w="80" w:type="dxa"/>
              <w:end w:w="90" w:type="dxa"/>
            </w:tcMar>
            <w:vAlign w:val="center"/>
          </w:tcPr>
          <w:p>
            <w:pPr>
              <w:keepLines/>
              <w:spacing w:after="0" w:line="240" w:lineRule="auto"/>
              <w:jc w:val="center"/>
            </w:pPr>
            <w:r>
              <w:rPr>
                <w:rFonts w:ascii="Aptos" w:hAnsi="Aptos"/>
                <w:sz w:val="16"/>
              </w:rPr>
              <w:t>5</w:t>
            </w:r>
          </w:p>
        </w:tc>
      </w:tr>
      <w:tr>
        <w:trPr>
          <w:cantSplit/>
        </w:trPr>
        <w:tc>
          <w:tcPr>
            <w:tcW w:type="dxa" w:w="3096"/>
            <w:shd w:fill="F2F6FA"/>
            <w:tcMar>
              <w:top w:w="80" w:type="dxa"/>
              <w:start w:w="90" w:type="dxa"/>
              <w:bottom w:w="80" w:type="dxa"/>
              <w:end w:w="90" w:type="dxa"/>
            </w:tcMar>
            <w:vAlign w:val="center"/>
          </w:tcPr>
          <w:p>
            <w:pPr>
              <w:keepLines/>
              <w:spacing w:after="0" w:line="240" w:lineRule="auto"/>
              <w:jc w:val="left"/>
            </w:pPr>
            <w:r>
              <w:rPr>
                <w:rFonts w:ascii="Aptos" w:hAnsi="Aptos"/>
                <w:sz w:val="16"/>
              </w:rPr>
              <w:t>Factorial reference accuracy</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1–2</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4</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3</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1–2</w:t>
            </w:r>
          </w:p>
        </w:tc>
        <w:tc>
          <w:tcPr>
            <w:tcW w:type="dxa" w:w="1944"/>
            <w:shd w:fill="F2F6FA"/>
            <w:tcMar>
              <w:top w:w="80" w:type="dxa"/>
              <w:start w:w="90" w:type="dxa"/>
              <w:bottom w:w="80" w:type="dxa"/>
              <w:end w:w="90" w:type="dxa"/>
            </w:tcMar>
            <w:vAlign w:val="center"/>
          </w:tcPr>
          <w:p>
            <w:pPr>
              <w:keepLines/>
              <w:spacing w:after="0" w:line="240" w:lineRule="auto"/>
              <w:jc w:val="center"/>
            </w:pPr>
            <w:r>
              <w:rPr>
                <w:rFonts w:ascii="Aptos" w:hAnsi="Aptos"/>
                <w:sz w:val="16"/>
              </w:rPr>
              <w:t>5</w:t>
            </w:r>
          </w:p>
        </w:tc>
      </w:tr>
      <w:tr>
        <w:trPr>
          <w:cantSplit/>
        </w:trPr>
        <w:tc>
          <w:tcPr>
            <w:tcW w:type="dxa" w:w="3096"/>
            <w:tcMar>
              <w:top w:w="80" w:type="dxa"/>
              <w:start w:w="90" w:type="dxa"/>
              <w:bottom w:w="80" w:type="dxa"/>
              <w:end w:w="90" w:type="dxa"/>
            </w:tcMar>
            <w:vAlign w:val="center"/>
          </w:tcPr>
          <w:p>
            <w:pPr>
              <w:keepLines/>
              <w:spacing w:after="0" w:line="240" w:lineRule="auto"/>
              <w:jc w:val="left"/>
            </w:pPr>
            <w:r>
              <w:rPr>
                <w:rFonts w:ascii="Aptos" w:hAnsi="Aptos"/>
                <w:sz w:val="16"/>
              </w:rPr>
              <w:t>Mixed-model adjusted accuracy</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1–2</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4</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3</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1–2</w:t>
            </w:r>
          </w:p>
        </w:tc>
        <w:tc>
          <w:tcPr>
            <w:tcW w:type="dxa" w:w="1944"/>
            <w:tcMar>
              <w:top w:w="80" w:type="dxa"/>
              <w:start w:w="90" w:type="dxa"/>
              <w:bottom w:w="80" w:type="dxa"/>
              <w:end w:w="90" w:type="dxa"/>
            </w:tcMar>
            <w:vAlign w:val="center"/>
          </w:tcPr>
          <w:p>
            <w:pPr>
              <w:keepLines/>
              <w:spacing w:after="0" w:line="240" w:lineRule="auto"/>
              <w:jc w:val="center"/>
            </w:pPr>
            <w:r>
              <w:rPr>
                <w:rFonts w:ascii="Aptos" w:hAnsi="Aptos"/>
                <w:sz w:val="16"/>
              </w:rPr>
              <w:t>5</w:t>
            </w:r>
          </w:p>
        </w:tc>
      </w:tr>
      <w:tr>
        <w:trPr>
          <w:cantSplit/>
        </w:trPr>
        <w:tc>
          <w:tcPr>
            <w:tcW w:type="dxa" w:w="3096"/>
            <w:shd w:fill="F2F6FA"/>
            <w:tcMar>
              <w:top w:w="80" w:type="dxa"/>
              <w:start w:w="90" w:type="dxa"/>
              <w:bottom w:w="80" w:type="dxa"/>
              <w:end w:w="90" w:type="dxa"/>
            </w:tcMar>
            <w:vAlign w:val="center"/>
          </w:tcPr>
          <w:p>
            <w:pPr>
              <w:keepLines/>
              <w:spacing w:after="0" w:line="240" w:lineRule="auto"/>
              <w:jc w:val="left"/>
            </w:pPr>
            <w:r>
              <w:rPr>
                <w:rFonts w:ascii="Aptos" w:hAnsi="Aptos"/>
                <w:sz w:val="16"/>
              </w:rPr>
              <w:t>Simplex-surface adjusted accuracy</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1–2</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1–2</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3</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4</w:t>
            </w:r>
          </w:p>
        </w:tc>
        <w:tc>
          <w:tcPr>
            <w:tcW w:type="dxa" w:w="1944"/>
            <w:shd w:fill="F2F6FA"/>
            <w:tcMar>
              <w:top w:w="80" w:type="dxa"/>
              <w:start w:w="90" w:type="dxa"/>
              <w:bottom w:w="80" w:type="dxa"/>
              <w:end w:w="90" w:type="dxa"/>
            </w:tcMar>
            <w:vAlign w:val="center"/>
          </w:tcPr>
          <w:p>
            <w:pPr>
              <w:keepLines/>
              <w:spacing w:after="0" w:line="240" w:lineRule="auto"/>
              <w:jc w:val="center"/>
            </w:pPr>
            <w:r>
              <w:rPr>
                <w:rFonts w:ascii="Aptos" w:hAnsi="Aptos"/>
                <w:sz w:val="16"/>
              </w:rPr>
              <w:t>5</w:t>
            </w:r>
          </w:p>
        </w:tc>
      </w:tr>
      <w:tr>
        <w:trPr>
          <w:cantSplit/>
        </w:trPr>
        <w:tc>
          <w:tcPr>
            <w:tcW w:type="dxa" w:w="3096"/>
            <w:tcMar>
              <w:top w:w="80" w:type="dxa"/>
              <w:start w:w="90" w:type="dxa"/>
              <w:bottom w:w="80" w:type="dxa"/>
              <w:end w:w="90" w:type="dxa"/>
            </w:tcMar>
            <w:vAlign w:val="center"/>
          </w:tcPr>
          <w:p>
            <w:pPr>
              <w:keepLines/>
              <w:spacing w:after="0" w:line="240" w:lineRule="auto"/>
              <w:jc w:val="left"/>
            </w:pPr>
            <w:r>
              <w:rPr>
                <w:rFonts w:ascii="Aptos" w:hAnsi="Aptos"/>
                <w:sz w:val="16"/>
              </w:rPr>
              <w:t>Resistance to rising sigma</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2</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4</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3</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1</w:t>
            </w:r>
          </w:p>
        </w:tc>
        <w:tc>
          <w:tcPr>
            <w:tcW w:type="dxa" w:w="1944"/>
            <w:tcMar>
              <w:top w:w="80" w:type="dxa"/>
              <w:start w:w="90" w:type="dxa"/>
              <w:bottom w:w="80" w:type="dxa"/>
              <w:end w:w="90" w:type="dxa"/>
            </w:tcMar>
            <w:vAlign w:val="center"/>
          </w:tcPr>
          <w:p>
            <w:pPr>
              <w:keepLines/>
              <w:spacing w:after="0" w:line="240" w:lineRule="auto"/>
              <w:jc w:val="center"/>
            </w:pPr>
            <w:r>
              <w:rPr>
                <w:rFonts w:ascii="Aptos" w:hAnsi="Aptos"/>
                <w:sz w:val="16"/>
              </w:rPr>
              <w:t>5</w:t>
            </w:r>
          </w:p>
        </w:tc>
      </w:tr>
      <w:tr>
        <w:trPr>
          <w:cantSplit/>
        </w:trPr>
        <w:tc>
          <w:tcPr>
            <w:tcW w:type="dxa" w:w="3096"/>
            <w:shd w:fill="F2F6FA"/>
            <w:tcMar>
              <w:top w:w="80" w:type="dxa"/>
              <w:start w:w="90" w:type="dxa"/>
              <w:bottom w:w="80" w:type="dxa"/>
              <w:end w:w="90" w:type="dxa"/>
            </w:tcMar>
            <w:vAlign w:val="center"/>
          </w:tcPr>
          <w:p>
            <w:pPr>
              <w:keepLines/>
              <w:spacing w:after="0" w:line="240" w:lineRule="auto"/>
              <w:jc w:val="left"/>
            </w:pPr>
            <w:r>
              <w:rPr>
                <w:rFonts w:ascii="Aptos" w:hAnsi="Aptos"/>
                <w:sz w:val="16"/>
              </w:rPr>
              <w:t>Cross-analysis consistency</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Highest</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High</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Moderate</w:t>
            </w:r>
          </w:p>
        </w:tc>
        <w:tc>
          <w:tcPr>
            <w:tcW w:type="dxa" w:w="1368"/>
            <w:shd w:fill="F2F6FA"/>
            <w:tcMar>
              <w:top w:w="80" w:type="dxa"/>
              <w:start w:w="90" w:type="dxa"/>
              <w:bottom w:w="80" w:type="dxa"/>
              <w:end w:w="90" w:type="dxa"/>
            </w:tcMar>
            <w:vAlign w:val="center"/>
          </w:tcPr>
          <w:p>
            <w:pPr>
              <w:keepLines/>
              <w:spacing w:after="0" w:line="240" w:lineRule="auto"/>
              <w:jc w:val="center"/>
            </w:pPr>
            <w:r>
              <w:rPr>
                <w:rFonts w:ascii="Aptos" w:hAnsi="Aptos"/>
                <w:sz w:val="16"/>
              </w:rPr>
              <w:t>Conditional</w:t>
            </w:r>
          </w:p>
        </w:tc>
        <w:tc>
          <w:tcPr>
            <w:tcW w:type="dxa" w:w="1944"/>
            <w:shd w:fill="F2F6FA"/>
            <w:tcMar>
              <w:top w:w="80" w:type="dxa"/>
              <w:start w:w="90" w:type="dxa"/>
              <w:bottom w:w="80" w:type="dxa"/>
              <w:end w:w="90" w:type="dxa"/>
            </w:tcMar>
            <w:vAlign w:val="center"/>
          </w:tcPr>
          <w:p>
            <w:pPr>
              <w:keepLines/>
              <w:spacing w:after="0" w:line="240" w:lineRule="auto"/>
              <w:jc w:val="center"/>
            </w:pPr>
            <w:r>
              <w:rPr>
                <w:rFonts w:ascii="Aptos" w:hAnsi="Aptos"/>
                <w:sz w:val="16"/>
              </w:rPr>
              <w:t>Consistently poor</w:t>
            </w:r>
          </w:p>
        </w:tc>
      </w:tr>
      <w:tr>
        <w:trPr>
          <w:cantSplit/>
        </w:trPr>
        <w:tc>
          <w:tcPr>
            <w:tcW w:type="dxa" w:w="3096"/>
            <w:tcMar>
              <w:top w:w="80" w:type="dxa"/>
              <w:start w:w="90" w:type="dxa"/>
              <w:bottom w:w="80" w:type="dxa"/>
              <w:end w:w="90" w:type="dxa"/>
            </w:tcMar>
            <w:vAlign w:val="center"/>
          </w:tcPr>
          <w:p>
            <w:pPr>
              <w:keepLines/>
              <w:spacing w:after="0" w:line="240" w:lineRule="auto"/>
              <w:jc w:val="left"/>
            </w:pPr>
            <w:r>
              <w:rPr>
                <w:rFonts w:ascii="Aptos" w:hAnsi="Aptos"/>
                <w:sz w:val="16"/>
              </w:rPr>
              <w:t>Integrated rank</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1</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2</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3</w:t>
            </w:r>
          </w:p>
        </w:tc>
        <w:tc>
          <w:tcPr>
            <w:tcW w:type="dxa" w:w="1368"/>
            <w:tcMar>
              <w:top w:w="80" w:type="dxa"/>
              <w:start w:w="90" w:type="dxa"/>
              <w:bottom w:w="80" w:type="dxa"/>
              <w:end w:w="90" w:type="dxa"/>
            </w:tcMar>
            <w:vAlign w:val="center"/>
          </w:tcPr>
          <w:p>
            <w:pPr>
              <w:keepLines/>
              <w:spacing w:after="0" w:line="240" w:lineRule="auto"/>
              <w:jc w:val="center"/>
            </w:pPr>
            <w:r>
              <w:rPr>
                <w:rFonts w:ascii="Aptos" w:hAnsi="Aptos"/>
                <w:sz w:val="16"/>
              </w:rPr>
              <w:t>4</w:t>
            </w:r>
          </w:p>
        </w:tc>
        <w:tc>
          <w:tcPr>
            <w:tcW w:type="dxa" w:w="1944"/>
            <w:tcMar>
              <w:top w:w="80" w:type="dxa"/>
              <w:start w:w="90" w:type="dxa"/>
              <w:bottom w:w="80" w:type="dxa"/>
              <w:end w:w="90" w:type="dxa"/>
            </w:tcMar>
            <w:vAlign w:val="center"/>
          </w:tcPr>
          <w:p>
            <w:pPr>
              <w:keepLines/>
              <w:spacing w:after="0" w:line="240" w:lineRule="auto"/>
              <w:jc w:val="center"/>
            </w:pPr>
            <w:r>
              <w:rPr>
                <w:rFonts w:ascii="Aptos" w:hAnsi="Aptos"/>
                <w:sz w:val="16"/>
              </w:rPr>
              <w:t>5</w:t>
            </w:r>
          </w:p>
        </w:tc>
      </w:tr>
    </w:tbl>
    <w:p>
      <w:pPr>
        <w:spacing w:after="20"/>
      </w:pPr>
    </w:p>
    <w:p>
      <w:pPr>
        <w:pStyle w:val="TableNote"/>
      </w:pPr>
      <w:r>
        <w:t>The rank matrix is an evidence synthesis, not a formal meta-analysis. The component analyses use overlapping data, different scales, and different estimands; numerical ranks should not be interpreted as independent votes.</w:t>
      </w:r>
    </w:p>
    <w:p>
      <w:pPr>
        <w:pStyle w:val="Heading2"/>
      </w:pPr>
      <w:r>
        <w:t>Limitations and confirmatory next steps</w:t>
      </w:r>
    </w:p>
    <w:p>
      <w:pPr>
        <w:pStyle w:val="ListBullet"/>
        <w:spacing w:after="60"/>
      </w:pPr>
      <w:r>
        <w:t>Reference-condition EMMs do not establish uniform superiority over the full factorial grid.</w:t>
      </w:r>
    </w:p>
    <w:p>
      <w:pPr>
        <w:pStyle w:val="ListBullet"/>
        <w:spacing w:after="60"/>
      </w:pPr>
      <w:r>
        <w:t>Code D analyzes raw pairwise differences and contains additive main effects only; it cannot identify directional factor-level crossovers.</w:t>
      </w:r>
    </w:p>
    <w:p>
      <w:pPr>
        <w:pStyle w:val="ListBullet"/>
        <w:spacing w:after="60"/>
      </w:pPr>
      <w:r>
        <w:t>L1 and Linf are linearly dependent for the three-part error vectors in Code D, so they do not provide independent inferential confirmation.</w:t>
      </w:r>
    </w:p>
    <w:p>
      <w:pPr>
        <w:pStyle w:val="ListBullet"/>
        <w:spacing w:after="60"/>
      </w:pPr>
      <w:r>
        <w:t>The mixed model uses a random intercept but no random method slopes, and the principal analyses use reproducible subsamples rather than every available record.</w:t>
      </w:r>
    </w:p>
    <w:p>
      <w:pPr>
        <w:pStyle w:val="ListBullet"/>
        <w:spacing w:after="60"/>
      </w:pPr>
      <w:r>
        <w:t>Large samples make small departures significant; practical equivalence bounds should accompany p-values.</w:t>
      </w:r>
    </w:p>
    <w:p>
      <w:pPr>
        <w:pStyle w:val="ListBullet"/>
        <w:spacing w:after="60"/>
      </w:pPr>
      <w:r>
        <w:t>A confirmatory analysis should fit signed method contrasts on a common log scale, estimate method × sigma, method × G, and method × mean_nsamp EMM grids by metric, and use scenario-level bootstrap or heteroscedasticity-robust uncertainty.</w:t>
      </w:r>
    </w:p>
    <w:p>
      <w:pPr>
        <w:pStyle w:val="Heading1"/>
      </w:pPr>
      <w:r>
        <w:t>Concluding assessment</w:t>
      </w:r>
    </w:p>
    <w:p>
      <w:r>
        <w:t>Taken together, the five analyses show that estimation accuracy is shaped more by the information and noise structure of the simulation than by the average difference among the four competitive estimators. G and sigma are the dominant factors for RMSE, L1, and Linf, mean sample size is consistently third, and design block and theta_true exert smaller but real effects. The leading method is v because it combines the best global matched accuracy, top L1 and Linf performance, strong sample-size response, and membership in the best reference-condition group. Method iii is essentially tied with v for practical purposes and is particularly attractive for RMSE. Method iv is a reliable middle option, while method i is a valuable high-noise or reference-regime specialist whose global performance is less uniform. Method ii is consistently least accurate and most vulnerable to increasing sigma. Accordingly, the best-supported general ordering is v &gt; iii &gt; iv &gt; i &gt; ii, with the explicit qualification that i can join or lead the top group under specific conditions and that v versus iii should often be treated as practical equivalence rather than a consequential superiority claim.</w:t>
      </w:r>
    </w:p>
    <w:p>
      <w:pPr>
        <w:pStyle w:val="Heading1"/>
      </w:pPr>
      <w:r>
        <w:t>Source documents</w:t>
      </w:r>
    </w:p>
    <w:p>
      <w:r>
        <w:t>summary-results-code-A.docx. Factorial MANOVA, univariate ANOVAs, effect sizes, interactions, and reference-condition EMMs.</w:t>
      </w:r>
    </w:p>
    <w:p>
      <w:r>
        <w:t>summary-results-code-B.docx. Weighted linear mixed-effects analysis, Type III tests, metric-specific EMMs, and simplex random effects.</w:t>
      </w:r>
    </w:p>
    <w:p>
      <w:r>
        <w:t>summary-results-code-C-D.docx. Matched pairwise Hotelling/Pillai comparisons, factorial sensitivity of method gaps, and relative-efficiency synthesis.</w:t>
      </w:r>
    </w:p>
    <w:p>
      <w:r>
        <w:t>summary-results-code-E.docx. Global and pairwise GAM analyses, simplex-surface morphology, basis-dimension checks, and residual diagnostics.</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left"/>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00"/>
    </w:pPr>
    <w:rPr>
      <w:rFonts w:ascii="Aptos" w:hAnsi="Aptos"/>
      <w:color w:val="000000"/>
      <w:sz w:val="23"/>
    </w:rPr>
  </w:style>
  <w:style w:type="paragraph" w:customStyle="1" w:styleId="TableNote">
    <w:name w:val="Table Note"/>
    <w:pPr>
      <w:spacing w:before="60" w:after="140"/>
    </w:pPr>
    <w:rPr>
      <w:rFonts w:ascii="Aptos" w:hAnsi="Aptos"/>
      <w:color w:val="4646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Analysis of Proportion Estimation Accuracy</dc:title>
  <dc:subject>Synthesis of Codes A through E for five compositional likelihood estimation methods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