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Factorial Analysis of Proportion Estimation Accuracy</w:t>
      </w:r>
    </w:p>
    <w:p>
      <w:pPr>
        <w:pStyle w:val="ReportSubtitle"/>
      </w:pPr>
      <w:r>
        <w:t>Factorial MANOVA univariate ANOVAs effect sizes interactions and comparative performance of five methods</w:t>
      </w:r>
    </w:p>
    <w:p>
      <w:pPr>
        <w:pStyle w:val="ReportSubtitle"/>
      </w:pPr>
      <w:r>
        <w:t>Analysis of results-code-A based on the design specified in build_design_matrix</w:t>
      </w:r>
    </w:p>
    <w:p>
      <w:pPr>
        <w:pStyle w:val="Heading1"/>
      </w:pPr>
      <w:r>
        <w:t>Purpose and principal conclusion</w:t>
      </w:r>
    </w:p>
    <w:p>
      <w:r>
        <w:t>This report evaluates whether five proportion-estimation methods differ in their multivariate and metric-specific error profiles, and whether their relative performance changes across the factorial conditions. The principal result is that the experimental conditions G and sigma govern estimation error far more strongly than method choice. Mean sample size is the next most influential factor. Method differences are statistically decisive but practically smaller: methods i and v form the best-performing pair at the reported post-hoc reference condition, method ii is consistently worst there, and methods iii and iv occupy an intermediate tier. The strongest method interaction is with sigma, indicating meaningful differences in robustness to increasing dispersion.</w:t>
      </w:r>
    </w:p>
    <w:p>
      <w:pPr>
        <w:pStyle w:val="Heading2"/>
      </w:pPr>
      <w:r>
        <w:t>Executive findings</w:t>
      </w:r>
    </w:p>
    <w:p>
      <w:pPr>
        <w:pStyle w:val="ListBullet"/>
        <w:spacing w:after="60"/>
      </w:pPr>
      <w:r>
        <w:t>The Pillai MANOVA rejected equality of the multivariate accuracy profile among methods (V = 0.0180, approximate F = 1,136, p &lt; 2e-16), but G (V = 0.2686) and sigma (V = 0.2398) produced effects roughly an order of magnitude larger on the Pillai scale.</w:t>
      </w:r>
    </w:p>
    <w:p>
      <w:pPr>
        <w:pStyle w:val="ListBullet"/>
        <w:spacing w:after="60"/>
      </w:pPr>
      <w:r>
        <w:t>Across log RMSE, log L1, and log L-infinity, approximate partial eta squared was largest for G (0.164-0.239) and sigma (0.162-0.222), followed by mean sample size (0.025-0.050). Method accounted for about 0.011-0.016 after conditioning on residual variation.</w:t>
      </w:r>
    </w:p>
    <w:p>
      <w:pPr>
        <w:pStyle w:val="ListBullet"/>
        <w:spacing w:after="60"/>
      </w:pPr>
      <w:r>
        <w:t>The method-by-sigma interaction was the dominant interaction for every metric (approximate partial eta squared about 0.008), whereas method-by-theta-CV and interactions with p1 and p2 were negligible and nonsignificant or marginal.</w:t>
      </w:r>
    </w:p>
    <w:p>
      <w:pPr>
        <w:pStyle w:val="ListBullet"/>
        <w:spacing w:after="60"/>
      </w:pPr>
      <w:r>
        <w:t>At the stated reference condition, methods i and v were indistinguishable for all three metrics after multiplicity adjustment. Method ii had the largest estimated error; methods iv and iii were intermediate, with iv generally lower.</w:t>
      </w:r>
    </w:p>
    <w:p>
      <w:pPr>
        <w:pStyle w:val="ListBullet"/>
        <w:spacing w:after="60"/>
      </w:pPr>
      <w:r>
        <w:t>Because the output contains 500,000 sampled rows, very small effects are detected. Practical interpretation should emphasize effect sizes and predicted contrasts rather than p-values alone.</w:t>
      </w:r>
    </w:p>
    <w:p>
      <w:pPr>
        <w:pStyle w:val="Heading1"/>
      </w:pPr>
      <w:r>
        <w:t>Scope and analytical basis</w:t>
      </w:r>
    </w:p>
    <w:p>
      <w:r>
        <w:t>The design script defines four sampling-distribution blocks crossed with five three-level factors, producing 4 x 3^5 = 972 design rows. The common default levels are shown below. K = 6, simplex spacing h = 0.10, and nsims = 5 are fixed. Distribution-specific fixed parameters are lognormal ln_sd = 1, negative-binomial size = 25, and log-uniform Nmin = 50 and Nmax = 100.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F4E78"/>
            <w:vAlign w:val="center"/>
            <w:tcMar>
              <w:top w:w="80" w:type="dxa"/>
              <w:start w:w="90" w:type="dxa"/>
              <w:bottom w:w="80" w:type="dxa"/>
              <w:end w:w="90" w:type="dxa"/>
            </w:tcMar>
          </w:tcPr>
          <w:p>
            <w:pPr>
              <w:keepLines/>
              <w:jc w:val="center"/>
            </w:pPr>
            <w:r>
              <w:rPr>
                <w:rFonts w:ascii="Aptos" w:hAnsi="Aptos"/>
                <w:b/>
                <w:color w:val="FFFFFF"/>
                <w:sz w:val="17"/>
              </w:rPr>
              <w:t>Design component</w:t>
            </w:r>
          </w:p>
        </w:tc>
        <w:tc>
          <w:tcPr>
            <w:tcW w:type="dxa" w:w="3816"/>
            <w:shd w:fill="1F4E78"/>
            <w:vAlign w:val="center"/>
            <w:tcMar>
              <w:top w:w="80" w:type="dxa"/>
              <w:start w:w="90" w:type="dxa"/>
              <w:bottom w:w="80" w:type="dxa"/>
              <w:end w:w="90" w:type="dxa"/>
            </w:tcMar>
          </w:tcPr>
          <w:p>
            <w:pPr>
              <w:keepLines/>
              <w:jc w:val="center"/>
            </w:pPr>
            <w:r>
              <w:rPr>
                <w:rFonts w:ascii="Aptos" w:hAnsi="Aptos"/>
                <w:b/>
                <w:color w:val="FFFFFF"/>
                <w:sz w:val="17"/>
              </w:rPr>
              <w:t>Levels or fixed value</w:t>
            </w:r>
          </w:p>
        </w:tc>
        <w:tc>
          <w:tcPr>
            <w:tcW w:type="dxa" w:w="3528"/>
            <w:shd w:fill="1F4E78"/>
            <w:vAlign w:val="center"/>
            <w:tcMar>
              <w:top w:w="80" w:type="dxa"/>
              <w:start w:w="90" w:type="dxa"/>
              <w:bottom w:w="80" w:type="dxa"/>
              <w:end w:w="90" w:type="dxa"/>
            </w:tcMar>
          </w:tcPr>
          <w:p>
            <w:pPr>
              <w:keepLines/>
              <w:jc w:val="center"/>
            </w:pPr>
            <w:r>
              <w:rPr>
                <w:rFonts w:ascii="Aptos" w:hAnsi="Aptos"/>
                <w:b/>
                <w:color w:val="FFFFFF"/>
                <w:sz w:val="17"/>
              </w:rPr>
              <w:t>Role</w:t>
            </w:r>
          </w:p>
        </w:tc>
      </w:tr>
      <w:tr>
        <w:tc>
          <w:tcPr>
            <w:tcW w:type="dxa" w:w="2232"/>
            <w:vAlign w:val="center"/>
            <w:tcMar>
              <w:top w:w="80" w:type="dxa"/>
              <w:start w:w="90" w:type="dxa"/>
              <w:bottom w:w="80" w:type="dxa"/>
              <w:end w:w="90" w:type="dxa"/>
            </w:tcMar>
          </w:tcPr>
          <w:p>
            <w:pPr>
              <w:keepLines/>
              <w:spacing w:after="0" w:line="240" w:lineRule="auto"/>
              <w:jc w:val="left"/>
            </w:pPr>
            <w:r>
              <w:rPr>
                <w:rFonts w:ascii="Aptos" w:hAnsi="Aptos"/>
                <w:sz w:val="17"/>
              </w:rPr>
              <w:t>Method</w:t>
            </w:r>
          </w:p>
        </w:tc>
        <w:tc>
          <w:tcPr>
            <w:tcW w:type="dxa" w:w="3816"/>
            <w:vAlign w:val="center"/>
            <w:tcMar>
              <w:top w:w="80" w:type="dxa"/>
              <w:start w:w="90" w:type="dxa"/>
              <w:bottom w:w="80" w:type="dxa"/>
              <w:end w:w="90" w:type="dxa"/>
            </w:tcMar>
          </w:tcPr>
          <w:p>
            <w:pPr>
              <w:keepLines/>
              <w:spacing w:after="0" w:line="240" w:lineRule="auto"/>
              <w:jc w:val="left"/>
            </w:pPr>
            <w:r>
              <w:rPr>
                <w:rFonts w:ascii="Aptos" w:hAnsi="Aptos"/>
                <w:sz w:val="17"/>
              </w:rPr>
              <w:t>i, ii, iii, iv, v</w:t>
            </w:r>
          </w:p>
        </w:tc>
        <w:tc>
          <w:tcPr>
            <w:tcW w:type="dxa" w:w="3528"/>
            <w:vAlign w:val="center"/>
            <w:tcMar>
              <w:top w:w="80" w:type="dxa"/>
              <w:start w:w="90" w:type="dxa"/>
              <w:bottom w:w="80" w:type="dxa"/>
              <w:end w:w="90" w:type="dxa"/>
            </w:tcMar>
          </w:tcPr>
          <w:p>
            <w:pPr>
              <w:keepLines/>
              <w:spacing w:after="0" w:line="240" w:lineRule="auto"/>
              <w:jc w:val="left"/>
            </w:pPr>
            <w:r>
              <w:rPr>
                <w:rFonts w:ascii="Aptos" w:hAnsi="Aptos"/>
                <w:sz w:val="17"/>
              </w:rPr>
              <w:t>Five estimators compared</w:t>
            </w:r>
          </w:p>
        </w:tc>
      </w:tr>
      <w:tr>
        <w:tc>
          <w:tcPr>
            <w:tcW w:type="dxa" w:w="2232"/>
            <w:shd w:fill="F2F6FA"/>
            <w:vAlign w:val="center"/>
            <w:tcMar>
              <w:top w:w="80" w:type="dxa"/>
              <w:start w:w="90" w:type="dxa"/>
              <w:bottom w:w="80" w:type="dxa"/>
              <w:end w:w="90" w:type="dxa"/>
            </w:tcMar>
          </w:tcPr>
          <w:p>
            <w:pPr>
              <w:keepLines/>
              <w:spacing w:after="0" w:line="240" w:lineRule="auto"/>
              <w:jc w:val="left"/>
            </w:pPr>
            <w:r>
              <w:rPr>
                <w:rFonts w:ascii="Aptos" w:hAnsi="Aptos"/>
                <w:sz w:val="17"/>
              </w:rPr>
              <w:t>Sampling distribution</w:t>
            </w:r>
          </w:p>
        </w:tc>
        <w:tc>
          <w:tcPr>
            <w:tcW w:type="dxa" w:w="3816"/>
            <w:shd w:fill="F2F6FA"/>
            <w:vAlign w:val="center"/>
            <w:tcMar>
              <w:top w:w="80" w:type="dxa"/>
              <w:start w:w="90" w:type="dxa"/>
              <w:bottom w:w="80" w:type="dxa"/>
              <w:end w:w="90" w:type="dxa"/>
            </w:tcMar>
          </w:tcPr>
          <w:p>
            <w:pPr>
              <w:keepLines/>
              <w:spacing w:after="0" w:line="240" w:lineRule="auto"/>
              <w:jc w:val="left"/>
            </w:pPr>
            <w:r>
              <w:rPr>
                <w:rFonts w:ascii="Aptos" w:hAnsi="Aptos"/>
                <w:sz w:val="17"/>
              </w:rPr>
              <w:t>Poisson, lognormal, negative binomial, log-uniform</w:t>
            </w:r>
          </w:p>
        </w:tc>
        <w:tc>
          <w:tcPr>
            <w:tcW w:type="dxa" w:w="3528"/>
            <w:shd w:fill="F2F6FA"/>
            <w:vAlign w:val="center"/>
            <w:tcMar>
              <w:top w:w="80" w:type="dxa"/>
              <w:start w:w="90" w:type="dxa"/>
              <w:bottom w:w="80" w:type="dxa"/>
              <w:end w:w="90" w:type="dxa"/>
            </w:tcMar>
          </w:tcPr>
          <w:p>
            <w:pPr>
              <w:keepLines/>
              <w:spacing w:after="0" w:line="240" w:lineRule="auto"/>
              <w:jc w:val="left"/>
            </w:pPr>
            <w:r>
              <w:rPr>
                <w:rFonts w:ascii="Aptos" w:hAnsi="Aptos"/>
                <w:sz w:val="17"/>
              </w:rPr>
              <w:t>Design block</w:t>
            </w:r>
          </w:p>
        </w:tc>
      </w:tr>
      <w:tr>
        <w:tc>
          <w:tcPr>
            <w:tcW w:type="dxa" w:w="2232"/>
            <w:vAlign w:val="center"/>
            <w:tcMar>
              <w:top w:w="80" w:type="dxa"/>
              <w:start w:w="90" w:type="dxa"/>
              <w:bottom w:w="80" w:type="dxa"/>
              <w:end w:w="90" w:type="dxa"/>
            </w:tcMar>
          </w:tcPr>
          <w:p>
            <w:pPr>
              <w:keepLines/>
              <w:spacing w:after="0" w:line="240" w:lineRule="auto"/>
              <w:jc w:val="left"/>
            </w:pPr>
            <w:r>
              <w:rPr>
                <w:rFonts w:ascii="Aptos" w:hAnsi="Aptos"/>
                <w:sz w:val="17"/>
              </w:rPr>
              <w:t>G</w:t>
            </w:r>
          </w:p>
        </w:tc>
        <w:tc>
          <w:tcPr>
            <w:tcW w:type="dxa" w:w="3816"/>
            <w:vAlign w:val="center"/>
            <w:tcMar>
              <w:top w:w="80" w:type="dxa"/>
              <w:start w:w="90" w:type="dxa"/>
              <w:bottom w:w="80" w:type="dxa"/>
              <w:end w:w="90" w:type="dxa"/>
            </w:tcMar>
          </w:tcPr>
          <w:p>
            <w:pPr>
              <w:keepLines/>
              <w:spacing w:after="0" w:line="240" w:lineRule="auto"/>
              <w:jc w:val="left"/>
            </w:pPr>
            <w:r>
              <w:rPr>
                <w:rFonts w:ascii="Aptos" w:hAnsi="Aptos"/>
                <w:sz w:val="17"/>
              </w:rPr>
              <w:t>2, 4, 8</w:t>
            </w:r>
          </w:p>
        </w:tc>
        <w:tc>
          <w:tcPr>
            <w:tcW w:type="dxa" w:w="3528"/>
            <w:vAlign w:val="center"/>
            <w:tcMar>
              <w:top w:w="80" w:type="dxa"/>
              <w:start w:w="90" w:type="dxa"/>
              <w:bottom w:w="80" w:type="dxa"/>
              <w:end w:w="90" w:type="dxa"/>
            </w:tcMar>
          </w:tcPr>
          <w:p>
            <w:pPr>
              <w:keepLines/>
              <w:spacing w:after="0" w:line="240" w:lineRule="auto"/>
              <w:jc w:val="left"/>
            </w:pPr>
            <w:r>
              <w:rPr>
                <w:rFonts w:ascii="Aptos" w:hAnsi="Aptos"/>
                <w:sz w:val="17"/>
              </w:rPr>
              <w:t>Three-level factorial factor</w:t>
            </w:r>
          </w:p>
        </w:tc>
      </w:tr>
      <w:tr>
        <w:tc>
          <w:tcPr>
            <w:tcW w:type="dxa" w:w="2232"/>
            <w:shd w:fill="F2F6FA"/>
            <w:vAlign w:val="center"/>
            <w:tcMar>
              <w:top w:w="80" w:type="dxa"/>
              <w:start w:w="90" w:type="dxa"/>
              <w:bottom w:w="80" w:type="dxa"/>
              <w:end w:w="90" w:type="dxa"/>
            </w:tcMar>
          </w:tcPr>
          <w:p>
            <w:pPr>
              <w:keepLines/>
              <w:spacing w:after="0" w:line="240" w:lineRule="auto"/>
              <w:jc w:val="left"/>
            </w:pPr>
            <w:r>
              <w:rPr>
                <w:rFonts w:ascii="Aptos" w:hAnsi="Aptos"/>
                <w:sz w:val="17"/>
              </w:rPr>
              <w:t>theta_true</w:t>
            </w:r>
          </w:p>
        </w:tc>
        <w:tc>
          <w:tcPr>
            <w:tcW w:type="dxa" w:w="3816"/>
            <w:shd w:fill="F2F6FA"/>
            <w:vAlign w:val="center"/>
            <w:tcMar>
              <w:top w:w="80" w:type="dxa"/>
              <w:start w:w="90" w:type="dxa"/>
              <w:bottom w:w="80" w:type="dxa"/>
              <w:end w:w="90" w:type="dxa"/>
            </w:tcMar>
          </w:tcPr>
          <w:p>
            <w:pPr>
              <w:keepLines/>
              <w:spacing w:after="0" w:line="240" w:lineRule="auto"/>
              <w:jc w:val="left"/>
            </w:pPr>
            <w:r>
              <w:rPr>
                <w:rFonts w:ascii="Aptos" w:hAnsi="Aptos"/>
                <w:sz w:val="17"/>
              </w:rPr>
              <w:t>0.5, 1.0, 2.0</w:t>
            </w:r>
          </w:p>
        </w:tc>
        <w:tc>
          <w:tcPr>
            <w:tcW w:type="dxa" w:w="3528"/>
            <w:shd w:fill="F2F6FA"/>
            <w:vAlign w:val="center"/>
            <w:tcMar>
              <w:top w:w="80" w:type="dxa"/>
              <w:start w:w="90" w:type="dxa"/>
              <w:bottom w:w="80" w:type="dxa"/>
              <w:end w:w="90" w:type="dxa"/>
            </w:tcMar>
          </w:tcPr>
          <w:p>
            <w:pPr>
              <w:keepLines/>
              <w:spacing w:after="0" w:line="240" w:lineRule="auto"/>
              <w:jc w:val="left"/>
            </w:pPr>
            <w:r>
              <w:rPr>
                <w:rFonts w:ascii="Aptos" w:hAnsi="Aptos"/>
                <w:sz w:val="17"/>
              </w:rPr>
              <w:t>Three-level factorial factor</w:t>
            </w:r>
          </w:p>
        </w:tc>
      </w:tr>
      <w:tr>
        <w:tc>
          <w:tcPr>
            <w:tcW w:type="dxa" w:w="2232"/>
            <w:vAlign w:val="center"/>
            <w:tcMar>
              <w:top w:w="80" w:type="dxa"/>
              <w:start w:w="90" w:type="dxa"/>
              <w:bottom w:w="80" w:type="dxa"/>
              <w:end w:w="90" w:type="dxa"/>
            </w:tcMar>
          </w:tcPr>
          <w:p>
            <w:pPr>
              <w:keepLines/>
              <w:spacing w:after="0" w:line="240" w:lineRule="auto"/>
              <w:jc w:val="left"/>
            </w:pPr>
            <w:r>
              <w:rPr>
                <w:rFonts w:ascii="Aptos" w:hAnsi="Aptos"/>
                <w:sz w:val="17"/>
              </w:rPr>
              <w:t>theta_CV</w:t>
            </w:r>
          </w:p>
        </w:tc>
        <w:tc>
          <w:tcPr>
            <w:tcW w:type="dxa" w:w="3816"/>
            <w:vAlign w:val="center"/>
            <w:tcMar>
              <w:top w:w="80" w:type="dxa"/>
              <w:start w:w="90" w:type="dxa"/>
              <w:bottom w:w="80" w:type="dxa"/>
              <w:end w:w="90" w:type="dxa"/>
            </w:tcMar>
          </w:tcPr>
          <w:p>
            <w:pPr>
              <w:keepLines/>
              <w:spacing w:after="0" w:line="240" w:lineRule="auto"/>
              <w:jc w:val="left"/>
            </w:pPr>
            <w:r>
              <w:rPr>
                <w:rFonts w:ascii="Aptos" w:hAnsi="Aptos"/>
                <w:sz w:val="17"/>
              </w:rPr>
              <w:t>0.0, 0.2, 0.6</w:t>
            </w:r>
          </w:p>
        </w:tc>
        <w:tc>
          <w:tcPr>
            <w:tcW w:type="dxa" w:w="3528"/>
            <w:vAlign w:val="center"/>
            <w:tcMar>
              <w:top w:w="80" w:type="dxa"/>
              <w:start w:w="90" w:type="dxa"/>
              <w:bottom w:w="80" w:type="dxa"/>
              <w:end w:w="90" w:type="dxa"/>
            </w:tcMar>
          </w:tcPr>
          <w:p>
            <w:pPr>
              <w:keepLines/>
              <w:spacing w:after="0" w:line="240" w:lineRule="auto"/>
              <w:jc w:val="left"/>
            </w:pPr>
            <w:r>
              <w:rPr>
                <w:rFonts w:ascii="Aptos" w:hAnsi="Aptos"/>
                <w:sz w:val="17"/>
              </w:rPr>
              <w:t>Three-level factorial factor</w:t>
            </w:r>
          </w:p>
        </w:tc>
      </w:tr>
      <w:tr>
        <w:tc>
          <w:tcPr>
            <w:tcW w:type="dxa" w:w="2232"/>
            <w:shd w:fill="F2F6FA"/>
            <w:vAlign w:val="center"/>
            <w:tcMar>
              <w:top w:w="80" w:type="dxa"/>
              <w:start w:w="90" w:type="dxa"/>
              <w:bottom w:w="80" w:type="dxa"/>
              <w:end w:w="90" w:type="dxa"/>
            </w:tcMar>
          </w:tcPr>
          <w:p>
            <w:pPr>
              <w:keepLines/>
              <w:spacing w:after="0" w:line="240" w:lineRule="auto"/>
              <w:jc w:val="left"/>
            </w:pPr>
            <w:r>
              <w:rPr>
                <w:rFonts w:ascii="Aptos" w:hAnsi="Aptos"/>
                <w:sz w:val="17"/>
              </w:rPr>
              <w:t>sigma</w:t>
            </w:r>
          </w:p>
        </w:tc>
        <w:tc>
          <w:tcPr>
            <w:tcW w:type="dxa" w:w="3816"/>
            <w:shd w:fill="F2F6FA"/>
            <w:vAlign w:val="center"/>
            <w:tcMar>
              <w:top w:w="80" w:type="dxa"/>
              <w:start w:w="90" w:type="dxa"/>
              <w:bottom w:w="80" w:type="dxa"/>
              <w:end w:w="90" w:type="dxa"/>
            </w:tcMar>
          </w:tcPr>
          <w:p>
            <w:pPr>
              <w:keepLines/>
              <w:spacing w:after="0" w:line="240" w:lineRule="auto"/>
              <w:jc w:val="left"/>
            </w:pPr>
            <w:r>
              <w:rPr>
                <w:rFonts w:ascii="Aptos" w:hAnsi="Aptos"/>
                <w:sz w:val="17"/>
              </w:rPr>
              <w:t>0.25, 0.5, 1.0</w:t>
            </w:r>
          </w:p>
        </w:tc>
        <w:tc>
          <w:tcPr>
            <w:tcW w:type="dxa" w:w="3528"/>
            <w:shd w:fill="F2F6FA"/>
            <w:vAlign w:val="center"/>
            <w:tcMar>
              <w:top w:w="80" w:type="dxa"/>
              <w:start w:w="90" w:type="dxa"/>
              <w:bottom w:w="80" w:type="dxa"/>
              <w:end w:w="90" w:type="dxa"/>
            </w:tcMar>
          </w:tcPr>
          <w:p>
            <w:pPr>
              <w:keepLines/>
              <w:spacing w:after="0" w:line="240" w:lineRule="auto"/>
              <w:jc w:val="left"/>
            </w:pPr>
            <w:r>
              <w:rPr>
                <w:rFonts w:ascii="Aptos" w:hAnsi="Aptos"/>
                <w:sz w:val="17"/>
              </w:rPr>
              <w:t>Three-level factorial factor</w:t>
            </w:r>
          </w:p>
        </w:tc>
      </w:tr>
      <w:tr>
        <w:tc>
          <w:tcPr>
            <w:tcW w:type="dxa" w:w="2232"/>
            <w:vAlign w:val="center"/>
            <w:tcMar>
              <w:top w:w="80" w:type="dxa"/>
              <w:start w:w="90" w:type="dxa"/>
              <w:bottom w:w="80" w:type="dxa"/>
              <w:end w:w="90" w:type="dxa"/>
            </w:tcMar>
          </w:tcPr>
          <w:p>
            <w:pPr>
              <w:keepLines/>
              <w:spacing w:after="0" w:line="240" w:lineRule="auto"/>
              <w:jc w:val="left"/>
            </w:pPr>
            <w:r>
              <w:rPr>
                <w:rFonts w:ascii="Aptos" w:hAnsi="Aptos"/>
                <w:sz w:val="17"/>
              </w:rPr>
              <w:t>mean_nsamp</w:t>
            </w:r>
          </w:p>
        </w:tc>
        <w:tc>
          <w:tcPr>
            <w:tcW w:type="dxa" w:w="3816"/>
            <w:vAlign w:val="center"/>
            <w:tcMar>
              <w:top w:w="80" w:type="dxa"/>
              <w:start w:w="90" w:type="dxa"/>
              <w:bottom w:w="80" w:type="dxa"/>
              <w:end w:w="90" w:type="dxa"/>
            </w:tcMar>
          </w:tcPr>
          <w:p>
            <w:pPr>
              <w:keepLines/>
              <w:spacing w:after="0" w:line="240" w:lineRule="auto"/>
              <w:jc w:val="left"/>
            </w:pPr>
            <w:r>
              <w:rPr>
                <w:rFonts w:ascii="Aptos" w:hAnsi="Aptos"/>
                <w:sz w:val="17"/>
              </w:rPr>
              <w:t>25, 50, 100</w:t>
            </w:r>
          </w:p>
        </w:tc>
        <w:tc>
          <w:tcPr>
            <w:tcW w:type="dxa" w:w="3528"/>
            <w:vAlign w:val="center"/>
            <w:tcMar>
              <w:top w:w="80" w:type="dxa"/>
              <w:start w:w="90" w:type="dxa"/>
              <w:bottom w:w="80" w:type="dxa"/>
              <w:end w:w="90" w:type="dxa"/>
            </w:tcMar>
          </w:tcPr>
          <w:p>
            <w:pPr>
              <w:keepLines/>
              <w:spacing w:after="0" w:line="240" w:lineRule="auto"/>
              <w:jc w:val="left"/>
            </w:pPr>
            <w:r>
              <w:rPr>
                <w:rFonts w:ascii="Aptos" w:hAnsi="Aptos"/>
                <w:sz w:val="17"/>
              </w:rPr>
              <w:t>Three-level factorial factor</w:t>
            </w:r>
          </w:p>
        </w:tc>
      </w:tr>
      <w:tr>
        <w:tc>
          <w:tcPr>
            <w:tcW w:type="dxa" w:w="2232"/>
            <w:shd w:fill="F2F6FA"/>
            <w:vAlign w:val="center"/>
            <w:tcMar>
              <w:top w:w="80" w:type="dxa"/>
              <w:start w:w="90" w:type="dxa"/>
              <w:bottom w:w="80" w:type="dxa"/>
              <w:end w:w="90" w:type="dxa"/>
            </w:tcMar>
          </w:tcPr>
          <w:p>
            <w:pPr>
              <w:keepLines/>
              <w:spacing w:after="0" w:line="240" w:lineRule="auto"/>
              <w:jc w:val="left"/>
            </w:pPr>
            <w:r>
              <w:rPr>
                <w:rFonts w:ascii="Aptos" w:hAnsi="Aptos"/>
                <w:sz w:val="17"/>
              </w:rPr>
              <w:t>Fixed settings</w:t>
            </w:r>
          </w:p>
        </w:tc>
        <w:tc>
          <w:tcPr>
            <w:tcW w:type="dxa" w:w="3816"/>
            <w:shd w:fill="F2F6FA"/>
            <w:vAlign w:val="center"/>
            <w:tcMar>
              <w:top w:w="80" w:type="dxa"/>
              <w:start w:w="90" w:type="dxa"/>
              <w:bottom w:w="80" w:type="dxa"/>
              <w:end w:w="90" w:type="dxa"/>
            </w:tcMar>
          </w:tcPr>
          <w:p>
            <w:pPr>
              <w:keepLines/>
              <w:spacing w:after="0" w:line="240" w:lineRule="auto"/>
              <w:jc w:val="left"/>
            </w:pPr>
            <w:r>
              <w:rPr>
                <w:rFonts w:ascii="Aptos" w:hAnsi="Aptos"/>
                <w:sz w:val="17"/>
              </w:rPr>
              <w:t>K = 6; h = 0.10; nsims = 5</w:t>
            </w:r>
          </w:p>
        </w:tc>
        <w:tc>
          <w:tcPr>
            <w:tcW w:type="dxa" w:w="3528"/>
            <w:shd w:fill="F2F6FA"/>
            <w:vAlign w:val="center"/>
            <w:tcMar>
              <w:top w:w="80" w:type="dxa"/>
              <w:start w:w="90" w:type="dxa"/>
              <w:bottom w:w="80" w:type="dxa"/>
              <w:end w:w="90" w:type="dxa"/>
            </w:tcMar>
          </w:tcPr>
          <w:p>
            <w:pPr>
              <w:keepLines/>
              <w:spacing w:after="0" w:line="240" w:lineRule="auto"/>
              <w:jc w:val="left"/>
            </w:pPr>
            <w:r>
              <w:rPr>
                <w:rFonts w:ascii="Aptos" w:hAnsi="Aptos"/>
                <w:sz w:val="17"/>
              </w:rPr>
              <w:t>Simulation settings</w:t>
            </w:r>
          </w:p>
        </w:tc>
      </w:tr>
    </w:tbl>
    <w:p>
      <w:pPr>
        <w:spacing w:after="20"/>
      </w:pPr>
    </w:p>
    <w:p>
      <w:r>
        <w:t>The results file reports an analysis of a reproducible random sample of 500,000 accuracy records using seed 20260730. The fitted model includes main effects for method, design block, G, theta_true, theta_CV, sigma, mean_nsamp, p1, and p2, plus each method-by-condition interaction. Although the design script contains four distribution blocks, the fitted output has only three design-block levels (lognormal, negative binomial, and Poisson; design-block df = 2). The log-uniform block therefore is not represented in these reported tests. Conclusions about distributional robustness apply only to the three analyzed blocks.</w:t>
      </w:r>
    </w:p>
    <w:p>
      <w:pPr>
        <w:pStyle w:val="Heading2"/>
      </w:pPr>
      <w:r>
        <w:t>Outcome and MANOVA qualification</w:t>
      </w:r>
    </w:p>
    <w:p>
      <w:r>
        <w:t>The supplied results label the outcomes log_rmse, log_L1, and log_Linf; they do not report separate bias and variance responses. Moreover, the printed Pillai numerator degrees of freedom are consistent with a two-response MANOVA: for example, the four-df method effect has eight numerator degrees of freedom. The multivariate result should therefore be read as the joint profile of the two responses actually included in that MANOVA, most plausibly log RMSE and log L1. Log L-infinity was analyzed separately with a univariate linear model and ANOVA. No claim about a joint Bias-Variance-RMSE vector is supportable from this output alone.</w:t>
      </w:r>
    </w:p>
    <w:p>
      <w:pPr>
        <w:pStyle w:val="Heading2"/>
      </w:pPr>
      <w:r>
        <w:t>Statistical interpretation conventions</w:t>
      </w:r>
    </w:p>
    <w:p>
      <w:pPr>
        <w:pStyle w:val="ListBullet"/>
        <w:spacing w:after="60"/>
      </w:pPr>
      <w:r>
        <w:t>Lower RMSE, L1, and L-infinity values indicate better estimation accuracy. All reported means and contrasts below remain on the fitted log-error scale because the exact transformation definition is not included in the source materials.</w:t>
      </w:r>
    </w:p>
    <w:p>
      <w:pPr>
        <w:pStyle w:val="ListBullet"/>
        <w:spacing w:after="60"/>
      </w:pPr>
      <w:r>
        <w:t>Approximate partial eta squared is computed from the printed sums of squares as SS_effect divided by (SS_effect + SS_error). Values are approximate because sums of squares were rounded in the output.</w:t>
      </w:r>
    </w:p>
    <w:p>
      <w:pPr>
        <w:pStyle w:val="ListBullet"/>
        <w:spacing w:after="60"/>
      </w:pPr>
      <w:r>
        <w:t>The printed ANOVA tables appear sequential. Accordingly, sums of squares and derived effect sizes may depend on term order if the sampled design is not perfectly balanced. They are best used for within-table ranking, not as invariant population quantities.</w:t>
      </w:r>
    </w:p>
    <w:p>
      <w:pPr>
        <w:pStyle w:val="ListBullet"/>
        <w:spacing w:after="60"/>
      </w:pPr>
      <w:r>
        <w:t>Post-hoc p-values use Holm adjustment for ten pairwise method tests; confidence intervals use Bonferroni adjustment.</w:t>
      </w:r>
    </w:p>
    <w:p>
      <w:pPr>
        <w:pStyle w:val="Heading1"/>
      </w:pPr>
      <w:r>
        <w:t>1 Multivariate synthesis</w:t>
      </w:r>
    </w:p>
    <w:p>
      <w:r>
        <w:t>The MANOVA indicates that the combined accuracy profile is not invariant across methods or the main experimental conditions. Method was significant (Pillai V = 0.018012, approximate F(8, 999850) = 1,136, p &lt; 2e-16), establishing that at least one method differs in the joint outcome space. The effect is real but modest compared with G and sigma. Pillai values of 0.268613 for G and 0.239824 for sigma show that those two design factors shift the multivariate error profile much more strongly than method choice. Mean sample size is a second-tier driver (V = 0.071167). Design block, theta_true, and method have similar Pillai values near 0.018; theta_CV is much weaker (V = 0.000970).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2088"/>
            <w:shd w:fill="1F4E78"/>
            <w:vAlign w:val="center"/>
            <w:tcMar>
              <w:top w:w="80" w:type="dxa"/>
              <w:start w:w="90" w:type="dxa"/>
              <w:bottom w:w="80" w:type="dxa"/>
              <w:end w:w="90" w:type="dxa"/>
            </w:tcMar>
          </w:tcPr>
          <w:p>
            <w:pPr>
              <w:keepLines/>
              <w:jc w:val="center"/>
            </w:pPr>
            <w:r>
              <w:rPr>
                <w:rFonts w:ascii="Aptos" w:hAnsi="Aptos"/>
                <w:b/>
                <w:color w:val="FFFFFF"/>
                <w:sz w:val="16"/>
              </w:rPr>
              <w:t>Effect</w:t>
            </w:r>
          </w:p>
        </w:tc>
        <w:tc>
          <w:tcPr>
            <w:tcW w:type="dxa" w:w="1296"/>
            <w:shd w:fill="1F4E78"/>
            <w:vAlign w:val="center"/>
            <w:tcMar>
              <w:top w:w="80" w:type="dxa"/>
              <w:start w:w="90" w:type="dxa"/>
              <w:bottom w:w="80" w:type="dxa"/>
              <w:end w:w="90" w:type="dxa"/>
            </w:tcMar>
          </w:tcPr>
          <w:p>
            <w:pPr>
              <w:keepLines/>
              <w:jc w:val="center"/>
            </w:pPr>
            <w:r>
              <w:rPr>
                <w:rFonts w:ascii="Aptos" w:hAnsi="Aptos"/>
                <w:b/>
                <w:color w:val="FFFFFF"/>
                <w:sz w:val="16"/>
              </w:rPr>
              <w:t>Pillai V</w:t>
            </w:r>
          </w:p>
        </w:tc>
        <w:tc>
          <w:tcPr>
            <w:tcW w:type="dxa" w:w="1296"/>
            <w:shd w:fill="1F4E78"/>
            <w:vAlign w:val="center"/>
            <w:tcMar>
              <w:top w:w="80" w:type="dxa"/>
              <w:start w:w="90" w:type="dxa"/>
              <w:bottom w:w="80" w:type="dxa"/>
              <w:end w:w="90" w:type="dxa"/>
            </w:tcMar>
          </w:tcPr>
          <w:p>
            <w:pPr>
              <w:keepLines/>
              <w:jc w:val="center"/>
            </w:pPr>
            <w:r>
              <w:rPr>
                <w:rFonts w:ascii="Aptos" w:hAnsi="Aptos"/>
                <w:b/>
                <w:color w:val="FFFFFF"/>
                <w:sz w:val="16"/>
              </w:rPr>
              <w:t>Approx F</w:t>
            </w:r>
          </w:p>
        </w:tc>
        <w:tc>
          <w:tcPr>
            <w:tcW w:type="dxa" w:w="1512"/>
            <w:shd w:fill="1F4E78"/>
            <w:vAlign w:val="center"/>
            <w:tcMar>
              <w:top w:w="80" w:type="dxa"/>
              <w:start w:w="90" w:type="dxa"/>
              <w:bottom w:w="80" w:type="dxa"/>
              <w:end w:w="90" w:type="dxa"/>
            </w:tcMar>
          </w:tcPr>
          <w:p>
            <w:pPr>
              <w:keepLines/>
              <w:jc w:val="center"/>
            </w:pPr>
            <w:r>
              <w:rPr>
                <w:rFonts w:ascii="Aptos" w:hAnsi="Aptos"/>
                <w:b/>
                <w:color w:val="FFFFFF"/>
                <w:sz w:val="16"/>
              </w:rPr>
              <w:t>p value</w:t>
            </w:r>
          </w:p>
        </w:tc>
        <w:tc>
          <w:tcPr>
            <w:tcW w:type="dxa" w:w="3384"/>
            <w:shd w:fill="1F4E78"/>
            <w:vAlign w:val="center"/>
            <w:tcMar>
              <w:top w:w="80" w:type="dxa"/>
              <w:start w:w="90" w:type="dxa"/>
              <w:bottom w:w="80" w:type="dxa"/>
              <w:end w:w="90" w:type="dxa"/>
            </w:tcMar>
          </w:tcPr>
          <w:p>
            <w:pPr>
              <w:keepLines/>
              <w:jc w:val="center"/>
            </w:pPr>
            <w:r>
              <w:rPr>
                <w:rFonts w:ascii="Aptos" w:hAnsi="Aptos"/>
                <w:b/>
                <w:color w:val="FFFFFF"/>
                <w:sz w:val="16"/>
              </w:rPr>
              <w:t>Interpretation</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G</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0.268613</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38,780</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&lt; 2e-16</w:t>
            </w:r>
          </w:p>
        </w:tc>
        <w:tc>
          <w:tcPr>
            <w:tcW w:type="dxa" w:w="3384"/>
            <w:vAlign w:val="center"/>
            <w:tcMar>
              <w:top w:w="80" w:type="dxa"/>
              <w:start w:w="90" w:type="dxa"/>
              <w:bottom w:w="80" w:type="dxa"/>
              <w:end w:w="90" w:type="dxa"/>
            </w:tcMar>
          </w:tcPr>
          <w:p>
            <w:pPr>
              <w:keepLines/>
              <w:spacing w:after="0" w:line="240" w:lineRule="auto"/>
              <w:jc w:val="center"/>
            </w:pPr>
            <w:r>
              <w:rPr>
                <w:rFonts w:ascii="Aptos" w:hAnsi="Aptos"/>
                <w:sz w:val="16"/>
              </w:rPr>
              <w:t>Largest multivariate driver</w:t>
            </w:r>
          </w:p>
        </w:tc>
      </w:tr>
      <w:tr>
        <w:tc>
          <w:tcPr>
            <w:tcW w:type="dxa" w:w="2088"/>
            <w:shd w:fill="F2F6FA"/>
            <w:vAlign w:val="center"/>
            <w:tcMar>
              <w:top w:w="80" w:type="dxa"/>
              <w:start w:w="90" w:type="dxa"/>
              <w:bottom w:w="80" w:type="dxa"/>
              <w:end w:w="90" w:type="dxa"/>
            </w:tcMar>
          </w:tcPr>
          <w:p>
            <w:pPr>
              <w:keepLines/>
              <w:spacing w:after="0" w:line="240" w:lineRule="auto"/>
              <w:jc w:val="left"/>
            </w:pPr>
            <w:r>
              <w:rPr>
                <w:rFonts w:ascii="Aptos" w:hAnsi="Aptos"/>
                <w:sz w:val="16"/>
              </w:rPr>
              <w:t>sigma</w:t>
            </w:r>
          </w:p>
        </w:tc>
        <w:tc>
          <w:tcPr>
            <w:tcW w:type="dxa" w:w="1296"/>
            <w:shd w:fill="F2F6FA"/>
            <w:vAlign w:val="center"/>
            <w:tcMar>
              <w:top w:w="80" w:type="dxa"/>
              <w:start w:w="90" w:type="dxa"/>
              <w:bottom w:w="80" w:type="dxa"/>
              <w:end w:w="90" w:type="dxa"/>
            </w:tcMar>
          </w:tcPr>
          <w:p>
            <w:pPr>
              <w:keepLines/>
              <w:spacing w:after="0" w:line="240" w:lineRule="auto"/>
              <w:jc w:val="center"/>
            </w:pPr>
            <w:r>
              <w:rPr>
                <w:rFonts w:ascii="Aptos" w:hAnsi="Aptos"/>
                <w:sz w:val="16"/>
              </w:rPr>
              <w:t>0.239824</w:t>
            </w:r>
          </w:p>
        </w:tc>
        <w:tc>
          <w:tcPr>
            <w:tcW w:type="dxa" w:w="1296"/>
            <w:shd w:fill="F2F6FA"/>
            <w:vAlign w:val="center"/>
            <w:tcMar>
              <w:top w:w="80" w:type="dxa"/>
              <w:start w:w="90" w:type="dxa"/>
              <w:bottom w:w="80" w:type="dxa"/>
              <w:end w:w="90" w:type="dxa"/>
            </w:tcMar>
          </w:tcPr>
          <w:p>
            <w:pPr>
              <w:keepLines/>
              <w:spacing w:after="0" w:line="240" w:lineRule="auto"/>
              <w:jc w:val="center"/>
            </w:pPr>
            <w:r>
              <w:rPr>
                <w:rFonts w:ascii="Aptos" w:hAnsi="Aptos"/>
                <w:sz w:val="16"/>
              </w:rPr>
              <w:t>34,057</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&lt; 2e-16</w:t>
            </w:r>
          </w:p>
        </w:tc>
        <w:tc>
          <w:tcPr>
            <w:tcW w:type="dxa" w:w="3384"/>
            <w:shd w:fill="F2F6FA"/>
            <w:vAlign w:val="center"/>
            <w:tcMar>
              <w:top w:w="80" w:type="dxa"/>
              <w:start w:w="90" w:type="dxa"/>
              <w:bottom w:w="80" w:type="dxa"/>
              <w:end w:w="90" w:type="dxa"/>
            </w:tcMar>
          </w:tcPr>
          <w:p>
            <w:pPr>
              <w:keepLines/>
              <w:spacing w:after="0" w:line="240" w:lineRule="auto"/>
              <w:jc w:val="center"/>
            </w:pPr>
            <w:r>
              <w:rPr>
                <w:rFonts w:ascii="Aptos" w:hAnsi="Aptos"/>
                <w:sz w:val="16"/>
              </w:rPr>
              <w:t>Nearly as large as G</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mean_nsamp</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0.071167</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9,223</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&lt; 2e-16</w:t>
            </w:r>
          </w:p>
        </w:tc>
        <w:tc>
          <w:tcPr>
            <w:tcW w:type="dxa" w:w="3384"/>
            <w:vAlign w:val="center"/>
            <w:tcMar>
              <w:top w:w="80" w:type="dxa"/>
              <w:start w:w="90" w:type="dxa"/>
              <w:bottom w:w="80" w:type="dxa"/>
              <w:end w:w="90" w:type="dxa"/>
            </w:tcMar>
          </w:tcPr>
          <w:p>
            <w:pPr>
              <w:keepLines/>
              <w:spacing w:after="0" w:line="240" w:lineRule="auto"/>
              <w:jc w:val="center"/>
            </w:pPr>
            <w:r>
              <w:rPr>
                <w:rFonts w:ascii="Aptos" w:hAnsi="Aptos"/>
                <w:sz w:val="16"/>
              </w:rPr>
              <w:t>Clear second-tier effect</w:t>
            </w:r>
          </w:p>
        </w:tc>
      </w:tr>
      <w:tr>
        <w:tc>
          <w:tcPr>
            <w:tcW w:type="dxa" w:w="2088"/>
            <w:shd w:fill="F2F6FA"/>
            <w:vAlign w:val="center"/>
            <w:tcMar>
              <w:top w:w="80" w:type="dxa"/>
              <w:start w:w="90" w:type="dxa"/>
              <w:bottom w:w="80" w:type="dxa"/>
              <w:end w:w="90" w:type="dxa"/>
            </w:tcMar>
          </w:tcPr>
          <w:p>
            <w:pPr>
              <w:keepLines/>
              <w:spacing w:after="0" w:line="240" w:lineRule="auto"/>
              <w:jc w:val="left"/>
            </w:pPr>
            <w:r>
              <w:rPr>
                <w:rFonts w:ascii="Aptos" w:hAnsi="Aptos"/>
                <w:sz w:val="16"/>
              </w:rPr>
              <w:t>design_block</w:t>
            </w:r>
          </w:p>
        </w:tc>
        <w:tc>
          <w:tcPr>
            <w:tcW w:type="dxa" w:w="1296"/>
            <w:shd w:fill="F2F6FA"/>
            <w:vAlign w:val="center"/>
            <w:tcMar>
              <w:top w:w="80" w:type="dxa"/>
              <w:start w:w="90" w:type="dxa"/>
              <w:bottom w:w="80" w:type="dxa"/>
              <w:end w:w="90" w:type="dxa"/>
            </w:tcMar>
          </w:tcPr>
          <w:p>
            <w:pPr>
              <w:keepLines/>
              <w:spacing w:after="0" w:line="240" w:lineRule="auto"/>
              <w:jc w:val="center"/>
            </w:pPr>
            <w:r>
              <w:rPr>
                <w:rFonts w:ascii="Aptos" w:hAnsi="Aptos"/>
                <w:sz w:val="16"/>
              </w:rPr>
              <w:t>0.018794</w:t>
            </w:r>
          </w:p>
        </w:tc>
        <w:tc>
          <w:tcPr>
            <w:tcW w:type="dxa" w:w="1296"/>
            <w:shd w:fill="F2F6FA"/>
            <w:vAlign w:val="center"/>
            <w:tcMar>
              <w:top w:w="80" w:type="dxa"/>
              <w:start w:w="90" w:type="dxa"/>
              <w:bottom w:w="80" w:type="dxa"/>
              <w:end w:w="90" w:type="dxa"/>
            </w:tcMar>
          </w:tcPr>
          <w:p>
            <w:pPr>
              <w:keepLines/>
              <w:spacing w:after="0" w:line="240" w:lineRule="auto"/>
              <w:jc w:val="center"/>
            </w:pPr>
            <w:r>
              <w:rPr>
                <w:rFonts w:ascii="Aptos" w:hAnsi="Aptos"/>
                <w:sz w:val="16"/>
              </w:rPr>
              <w:t>2,371</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&lt; 2e-16</w:t>
            </w:r>
          </w:p>
        </w:tc>
        <w:tc>
          <w:tcPr>
            <w:tcW w:type="dxa" w:w="3384"/>
            <w:shd w:fill="F2F6FA"/>
            <w:vAlign w:val="center"/>
            <w:tcMar>
              <w:top w:w="80" w:type="dxa"/>
              <w:start w:w="90" w:type="dxa"/>
              <w:bottom w:w="80" w:type="dxa"/>
              <w:end w:w="90" w:type="dxa"/>
            </w:tcMar>
          </w:tcPr>
          <w:p>
            <w:pPr>
              <w:keepLines/>
              <w:spacing w:after="0" w:line="240" w:lineRule="auto"/>
              <w:jc w:val="center"/>
            </w:pPr>
            <w:r>
              <w:rPr>
                <w:rFonts w:ascii="Aptos" w:hAnsi="Aptos"/>
                <w:sz w:val="16"/>
              </w:rPr>
              <w:t>Modest block effect</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theta_true</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0.018201</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2,296</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&lt; 2e-16</w:t>
            </w:r>
          </w:p>
        </w:tc>
        <w:tc>
          <w:tcPr>
            <w:tcW w:type="dxa" w:w="3384"/>
            <w:vAlign w:val="center"/>
            <w:tcMar>
              <w:top w:w="80" w:type="dxa"/>
              <w:start w:w="90" w:type="dxa"/>
              <w:bottom w:w="80" w:type="dxa"/>
              <w:end w:w="90" w:type="dxa"/>
            </w:tcMar>
          </w:tcPr>
          <w:p>
            <w:pPr>
              <w:keepLines/>
              <w:spacing w:after="0" w:line="240" w:lineRule="auto"/>
              <w:jc w:val="center"/>
            </w:pPr>
            <w:r>
              <w:rPr>
                <w:rFonts w:ascii="Aptos" w:hAnsi="Aptos"/>
                <w:sz w:val="16"/>
              </w:rPr>
              <w:t>Modest effect</w:t>
            </w:r>
          </w:p>
        </w:tc>
      </w:tr>
      <w:tr>
        <w:tc>
          <w:tcPr>
            <w:tcW w:type="dxa" w:w="2088"/>
            <w:shd w:fill="F2F6FA"/>
            <w:vAlign w:val="center"/>
            <w:tcMar>
              <w:top w:w="80" w:type="dxa"/>
              <w:start w:w="90" w:type="dxa"/>
              <w:bottom w:w="80" w:type="dxa"/>
              <w:end w:w="90" w:type="dxa"/>
            </w:tcMar>
          </w:tcPr>
          <w:p>
            <w:pPr>
              <w:keepLines/>
              <w:spacing w:after="0" w:line="240" w:lineRule="auto"/>
              <w:jc w:val="left"/>
            </w:pPr>
            <w:r>
              <w:rPr>
                <w:rFonts w:ascii="Aptos" w:hAnsi="Aptos"/>
                <w:sz w:val="16"/>
              </w:rPr>
              <w:t>method</w:t>
            </w:r>
          </w:p>
        </w:tc>
        <w:tc>
          <w:tcPr>
            <w:tcW w:type="dxa" w:w="1296"/>
            <w:shd w:fill="F2F6FA"/>
            <w:vAlign w:val="center"/>
            <w:tcMar>
              <w:top w:w="80" w:type="dxa"/>
              <w:start w:w="90" w:type="dxa"/>
              <w:bottom w:w="80" w:type="dxa"/>
              <w:end w:w="90" w:type="dxa"/>
            </w:tcMar>
          </w:tcPr>
          <w:p>
            <w:pPr>
              <w:keepLines/>
              <w:spacing w:after="0" w:line="240" w:lineRule="auto"/>
              <w:jc w:val="center"/>
            </w:pPr>
            <w:r>
              <w:rPr>
                <w:rFonts w:ascii="Aptos" w:hAnsi="Aptos"/>
                <w:sz w:val="16"/>
              </w:rPr>
              <w:t>0.018012</w:t>
            </w:r>
          </w:p>
        </w:tc>
        <w:tc>
          <w:tcPr>
            <w:tcW w:type="dxa" w:w="1296"/>
            <w:shd w:fill="F2F6FA"/>
            <w:vAlign w:val="center"/>
            <w:tcMar>
              <w:top w:w="80" w:type="dxa"/>
              <w:start w:w="90" w:type="dxa"/>
              <w:bottom w:w="80" w:type="dxa"/>
              <w:end w:w="90" w:type="dxa"/>
            </w:tcMar>
          </w:tcPr>
          <w:p>
            <w:pPr>
              <w:keepLines/>
              <w:spacing w:after="0" w:line="240" w:lineRule="auto"/>
              <w:jc w:val="center"/>
            </w:pPr>
            <w:r>
              <w:rPr>
                <w:rFonts w:ascii="Aptos" w:hAnsi="Aptos"/>
                <w:sz w:val="16"/>
              </w:rPr>
              <w:t>1,136</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&lt; 2e-16</w:t>
            </w:r>
          </w:p>
        </w:tc>
        <w:tc>
          <w:tcPr>
            <w:tcW w:type="dxa" w:w="3384"/>
            <w:shd w:fill="F2F6FA"/>
            <w:vAlign w:val="center"/>
            <w:tcMar>
              <w:top w:w="80" w:type="dxa"/>
              <w:start w:w="90" w:type="dxa"/>
              <w:bottom w:w="80" w:type="dxa"/>
              <w:end w:w="90" w:type="dxa"/>
            </w:tcMar>
          </w:tcPr>
          <w:p>
            <w:pPr>
              <w:keepLines/>
              <w:spacing w:after="0" w:line="240" w:lineRule="auto"/>
              <w:jc w:val="center"/>
            </w:pPr>
            <w:r>
              <w:rPr>
                <w:rFonts w:ascii="Aptos" w:hAnsi="Aptos"/>
                <w:sz w:val="16"/>
              </w:rPr>
              <w:t>Methods differ jointly</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theta_CV</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0.000970</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121</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&lt; 2e-16</w:t>
            </w:r>
          </w:p>
        </w:tc>
        <w:tc>
          <w:tcPr>
            <w:tcW w:type="dxa" w:w="3384"/>
            <w:vAlign w:val="center"/>
            <w:tcMar>
              <w:top w:w="80" w:type="dxa"/>
              <w:start w:w="90" w:type="dxa"/>
              <w:bottom w:w="80" w:type="dxa"/>
              <w:end w:w="90" w:type="dxa"/>
            </w:tcMar>
          </w:tcPr>
          <w:p>
            <w:pPr>
              <w:keepLines/>
              <w:spacing w:after="0" w:line="240" w:lineRule="auto"/>
              <w:jc w:val="center"/>
            </w:pPr>
            <w:r>
              <w:rPr>
                <w:rFonts w:ascii="Aptos" w:hAnsi="Aptos"/>
                <w:sz w:val="16"/>
              </w:rPr>
              <w:t>Tiny despite significance</w:t>
            </w:r>
          </w:p>
        </w:tc>
      </w:tr>
      <w:tr>
        <w:tc>
          <w:tcPr>
            <w:tcW w:type="dxa" w:w="2088"/>
            <w:shd w:fill="F2F6FA"/>
            <w:vAlign w:val="center"/>
            <w:tcMar>
              <w:top w:w="80" w:type="dxa"/>
              <w:start w:w="90" w:type="dxa"/>
              <w:bottom w:w="80" w:type="dxa"/>
              <w:end w:w="90" w:type="dxa"/>
            </w:tcMar>
          </w:tcPr>
          <w:p>
            <w:pPr>
              <w:keepLines/>
              <w:spacing w:after="0" w:line="240" w:lineRule="auto"/>
              <w:jc w:val="left"/>
            </w:pPr>
            <w:r>
              <w:rPr>
                <w:rFonts w:ascii="Aptos" w:hAnsi="Aptos"/>
                <w:sz w:val="16"/>
              </w:rPr>
              <w:t>p1</w:t>
            </w:r>
          </w:p>
        </w:tc>
        <w:tc>
          <w:tcPr>
            <w:tcW w:type="dxa" w:w="1296"/>
            <w:shd w:fill="F2F6FA"/>
            <w:vAlign w:val="center"/>
            <w:tcMar>
              <w:top w:w="80" w:type="dxa"/>
              <w:start w:w="90" w:type="dxa"/>
              <w:bottom w:w="80" w:type="dxa"/>
              <w:end w:w="90" w:type="dxa"/>
            </w:tcMar>
          </w:tcPr>
          <w:p>
            <w:pPr>
              <w:keepLines/>
              <w:spacing w:after="0" w:line="240" w:lineRule="auto"/>
              <w:jc w:val="center"/>
            </w:pPr>
            <w:r>
              <w:rPr>
                <w:rFonts w:ascii="Aptos" w:hAnsi="Aptos"/>
                <w:sz w:val="16"/>
              </w:rPr>
              <w:t>0.000012</w:t>
            </w:r>
          </w:p>
        </w:tc>
        <w:tc>
          <w:tcPr>
            <w:tcW w:type="dxa" w:w="1296"/>
            <w:shd w:fill="F2F6FA"/>
            <w:vAlign w:val="center"/>
            <w:tcMar>
              <w:top w:w="80" w:type="dxa"/>
              <w:start w:w="90" w:type="dxa"/>
              <w:bottom w:w="80" w:type="dxa"/>
              <w:end w:w="90" w:type="dxa"/>
            </w:tcMar>
          </w:tcPr>
          <w:p>
            <w:pPr>
              <w:keepLines/>
              <w:spacing w:after="0" w:line="240" w:lineRule="auto"/>
              <w:jc w:val="center"/>
            </w:pPr>
            <w:r>
              <w:rPr>
                <w:rFonts w:ascii="Aptos" w:hAnsi="Aptos"/>
                <w:sz w:val="16"/>
              </w:rPr>
              <w:t>3</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0.04698</w:t>
            </w:r>
          </w:p>
        </w:tc>
        <w:tc>
          <w:tcPr>
            <w:tcW w:type="dxa" w:w="3384"/>
            <w:shd w:fill="F2F6FA"/>
            <w:vAlign w:val="center"/>
            <w:tcMar>
              <w:top w:w="80" w:type="dxa"/>
              <w:start w:w="90" w:type="dxa"/>
              <w:bottom w:w="80" w:type="dxa"/>
              <w:end w:w="90" w:type="dxa"/>
            </w:tcMar>
          </w:tcPr>
          <w:p>
            <w:pPr>
              <w:keepLines/>
              <w:spacing w:after="0" w:line="240" w:lineRule="auto"/>
              <w:jc w:val="center"/>
            </w:pPr>
            <w:r>
              <w:rPr>
                <w:rFonts w:ascii="Aptos" w:hAnsi="Aptos"/>
                <w:sz w:val="16"/>
              </w:rPr>
              <w:t>Negligible borderline effect</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p2</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0.000003</w:t>
            </w:r>
          </w:p>
        </w:tc>
        <w:tc>
          <w:tcPr>
            <w:tcW w:type="dxa" w:w="1296"/>
            <w:vAlign w:val="center"/>
            <w:tcMar>
              <w:top w:w="80" w:type="dxa"/>
              <w:start w:w="90" w:type="dxa"/>
              <w:bottom w:w="80" w:type="dxa"/>
              <w:end w:w="90" w:type="dxa"/>
            </w:tcMar>
          </w:tcPr>
          <w:p>
            <w:pPr>
              <w:keepLines/>
              <w:spacing w:after="0" w:line="240" w:lineRule="auto"/>
              <w:jc w:val="center"/>
            </w:pPr>
            <w:r>
              <w:rPr>
                <w:rFonts w:ascii="Aptos" w:hAnsi="Aptos"/>
                <w:sz w:val="16"/>
              </w:rPr>
              <w:t>1</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0.45629</w:t>
            </w:r>
          </w:p>
        </w:tc>
        <w:tc>
          <w:tcPr>
            <w:tcW w:type="dxa" w:w="3384"/>
            <w:vAlign w:val="center"/>
            <w:tcMar>
              <w:top w:w="80" w:type="dxa"/>
              <w:start w:w="90" w:type="dxa"/>
              <w:bottom w:w="80" w:type="dxa"/>
              <w:end w:w="90" w:type="dxa"/>
            </w:tcMar>
          </w:tcPr>
          <w:p>
            <w:pPr>
              <w:keepLines/>
              <w:spacing w:after="0" w:line="240" w:lineRule="auto"/>
              <w:jc w:val="center"/>
            </w:pPr>
            <w:r>
              <w:rPr>
                <w:rFonts w:ascii="Aptos" w:hAnsi="Aptos"/>
                <w:sz w:val="16"/>
              </w:rPr>
              <w:t>No evidence of effect</w:t>
            </w:r>
          </w:p>
        </w:tc>
      </w:tr>
    </w:tbl>
    <w:p>
      <w:pPr>
        <w:spacing w:after="20"/>
      </w:pPr>
    </w:p>
    <w:p>
      <w:pPr>
        <w:pStyle w:val="Heading2"/>
      </w:pPr>
      <w:r>
        <w:t>Interactions in the multivariate profile</w:t>
      </w:r>
    </w:p>
    <w:p>
      <w:r>
        <w:t>The method-by-sigma interaction is the dominant multivariate interaction (V = 0.009095, approximate F = 285, p &lt; 2e-16). Thus, the separation among methods changes materially as sigma changes. Method-by-G (V = 0.002606) and method-by-mean-sample-size (V = 0.001124) are smaller but clear. Method-by-theta_true (V = 0.000807) and method-by-design-block (V = 0.000574) are statistically detectable but small. There is no conventional evidence for method-by-theta_CV (p = 0.06052), method-by-p1 (p = 0.73837), or method-by-p2 (p = 0.28067). Consequently, method rankings are condition-dependent mainly along sigma, and to a lesser extent G and sample size; they are not meaningfully modified by the two composition-coordinate covariates.</w:t>
      </w:r>
    </w:p>
    <w:p>
      <w:pPr>
        <w:pStyle w:val="Heading1"/>
      </w:pPr>
      <w:r>
        <w:t>2 Univariate decomposition</w:t>
      </w:r>
    </w:p>
    <w:p>
      <w:r>
        <w:t>All major design factors and method are significant for each error metric. The pattern is strikingly consistent: G and sigma produce the largest F statistics and effect sizes; mean sample size ranks third; design block, method, and theta_true form a smaller tier; theta_CV and p1 are very small; and p2 is nonsignificant. This consistency indicates that the main conclusion does not depend on whether error is summarized quadratically (RMSE), across all components (L1), or by the largest component error (L-infinity).</w:t>
      </w:r>
    </w:p>
    <w:p>
      <w:pPr>
        <w:pStyle w:val="Heading2"/>
      </w:pPr>
      <w:r>
        <w:t>Log RMSE</w:t>
      </w:r>
    </w:p>
    <w:p>
      <w:r>
        <w:t>For log RMSE, G is the largest main effect, F(2, 499925) = 60,498.8, followed closely by sigma, F = 57,486.6. Mean sample size is a distant third, F = 8,715.5. Design block, theta_true, method, and theta_CV are all significant, with F values of 3,638.4, 2,255.6, 1,741.9, and 159.3, respectively. p1 is statistically significant but practically negligible (F = 6.04, p = 0.01397); p2 is not significant (p = 0.31161).</w:t>
      </w:r>
    </w:p>
    <w:p>
      <w:r>
        <w:t>The method-by-sigma interaction is much larger than every other method interaction, F(8, 499925) = 546.7. Method-by-G (F = 122.7), method-by-mean_nsamp (F = 53.9), method-by-theta_true (F = 42.3), and method-by-design_block (F = 31.0) are significant but substantially smaller. Method-by-theta_CV is marginal (p = 0.08457), and interactions with p1 and p2 are null.</w:t>
      </w:r>
    </w:p>
    <w:p>
      <w:pPr>
        <w:pStyle w:val="Heading2"/>
      </w:pPr>
      <w:r>
        <w:t>Log L1 error</w:t>
      </w:r>
    </w:p>
    <w:p>
      <w:r>
        <w:t>The log L1 results reinforce the RMSE findings. G again leads, F = 78,518.4, followed by sigma, F = 71,449.8, and mean sample size, F = 13,215.7. Design block (F = 4,443.7), theta_true (F = 3,335.1), method (F = 1,978.2), and theta_CV (F = 208.3) are significant. p1 has a tiny effect (F = 6.01, p = 0.01420), whereas p2 is nonsignificant (p = 0.24656).</w:t>
      </w:r>
    </w:p>
    <w:p>
      <w:r>
        <w:t>Method-by-sigma is again the leading interaction, F = 501.3. Method-by-G, method-by-mean_nsamp, method-by-theta_true, and method-by-design_block remain significant, with F values of 95.1, 54.9, 41.2, and 30.5. Method-by-theta_CV is marginal (p = 0.05607); p1 and p2 do not alter relative method performance.</w:t>
      </w:r>
    </w:p>
    <w:p>
      <w:pPr>
        <w:pStyle w:val="Heading2"/>
      </w:pPr>
      <w:r>
        <w:t>Log L infinity error</w:t>
      </w:r>
    </w:p>
    <w:p>
      <w:r>
        <w:t>For the largest component error, G and sigma are nearly tied: F = 48,930.1 and 48,383.5, respectively. Mean sample size follows at F = 6,441.4. Design block (F = 3,016.8), theta_true (F = 1,694.2), method (F = 1,443.0), and theta_CV (F = 133.1) are significant. p1 is again barely significant (F = 5.20, p = 0.02263), and p2 is not (p = 0.27437). The overall model explains 31.4% of log L-infinity variation (adjusted R-squared = 0.3139).</w:t>
      </w:r>
    </w:p>
    <w:p>
      <w:r>
        <w:t>The interaction ordering is unchanged: method-by-sigma is largest (F = 499.9), followed by method-by-G (115.9), method-by-mean_nsamp (47.4), method-by-theta_true (40.2), and method-by-design_block (31.4). Method-by-theta_CV is marginal (p = 0.07395), and interactions with p1 and p2 are nonsignificant.</w:t>
      </w:r>
    </w:p>
    <w:p>
      <w:pPr>
        <w:pStyle w:val="Heading3"/>
      </w:pPr>
      <w:r>
        <w:t>Directional interpretation of L infinity interactions</w:t>
      </w:r>
    </w:p>
    <w:p>
      <w:r>
        <w:t>The L-infinity regression coefficients provide the only metric-specific directional interaction estimates in the supplied output. They show that increasing sigma from 0.25 to 1 increases predicted log L-infinity for every method, but the increase is smallest for method i. Relative to method i, the added sigma = 1 penalties are 0.03574 for method ii, 0.03189 for iii, 0.03023 for iv, and 0.02291 for v. Thus method i is most resistant to rising sigma, with v next; ii deteriorates fastest.</w:t>
      </w:r>
    </w:p>
    <w:p>
      <w:r>
        <w:t>Increasing G improves accuracy for all methods. For method i, moving from G = 2 to G = 8 changes predicted log L-infinity by -0.05373. The corresponding combined changes are about -0.06988 for ii, -0.06199 for iii, -0.06505 for iv, and -0.06409 for v. Method ii therefore benefits most from high G, although it remains the worst method at the reported reference condition. Increasing mean sample size from 25 to 100 also improves every method: the modeled changes are -0.01978 for i, -0.01719 for ii, -0.02406 for iii, -0.02645 for iv, and -0.02650 for v. Methods iv and v gain most from larger samples, while ii gains least.</w:t>
      </w:r>
    </w:p>
    <w:p>
      <w:r>
        <w:t>Higher theta_true reduces predicted log L-infinity across all methods, with the largest improvement for ii. Distributional changes from lognormal to negative binomial or Poisson also reduce predicted error for method i, and methods iii-v receive additional reductions. The theta_CV interactions are mostly nonsignificant, so the evidence does not support materially different method sensitivity to theta_CV.</w:t>
      </w:r>
    </w:p>
    <w:p>
      <w:pPr>
        <w:pStyle w:val="Heading1"/>
      </w:pPr>
      <w:r>
        <w:t>3 Effect size and hierarchy of influence</w:t>
      </w:r>
    </w:p>
    <w:p>
      <w:r>
        <w:t>Approximate partial eta squared values establish the practical hierarchy. Across all three outcomes, G and sigma are dominant and close in magnitude. Mean sample size is consistently third. Design block and method are of similar, modest size, followed by theta_true. Theta_CV and the composition-coordinate terms have negligible influence. The hierarchy is stable enough to support a general ordering, although G and sigma should be treated as co-dominant because their order and separation vary somewhat by metric.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2088"/>
            <w:shd w:fill="1F4E78"/>
            <w:vAlign w:val="center"/>
            <w:tcMar>
              <w:top w:w="80" w:type="dxa"/>
              <w:start w:w="90" w:type="dxa"/>
              <w:bottom w:w="80" w:type="dxa"/>
              <w:end w:w="90" w:type="dxa"/>
            </w:tcMar>
          </w:tcPr>
          <w:p>
            <w:pPr>
              <w:keepLines/>
              <w:jc w:val="center"/>
            </w:pPr>
            <w:r>
              <w:rPr>
                <w:rFonts w:ascii="Aptos" w:hAnsi="Aptos"/>
                <w:b/>
                <w:color w:val="FFFFFF"/>
                <w:sz w:val="16"/>
              </w:rPr>
              <w:t>Effect</w:t>
            </w:r>
          </w:p>
        </w:tc>
        <w:tc>
          <w:tcPr>
            <w:tcW w:type="dxa" w:w="1584"/>
            <w:shd w:fill="1F4E78"/>
            <w:vAlign w:val="center"/>
            <w:tcMar>
              <w:top w:w="80" w:type="dxa"/>
              <w:start w:w="90" w:type="dxa"/>
              <w:bottom w:w="80" w:type="dxa"/>
              <w:end w:w="90" w:type="dxa"/>
            </w:tcMar>
          </w:tcPr>
          <w:p>
            <w:pPr>
              <w:keepLines/>
              <w:jc w:val="center"/>
            </w:pPr>
            <w:r>
              <w:rPr>
                <w:rFonts w:ascii="Aptos" w:hAnsi="Aptos"/>
                <w:b/>
                <w:color w:val="FFFFFF"/>
                <w:sz w:val="16"/>
              </w:rPr>
              <w:t>log RMSE</w:t>
            </w:r>
          </w:p>
        </w:tc>
        <w:tc>
          <w:tcPr>
            <w:tcW w:type="dxa" w:w="1584"/>
            <w:shd w:fill="1F4E78"/>
            <w:vAlign w:val="center"/>
            <w:tcMar>
              <w:top w:w="80" w:type="dxa"/>
              <w:start w:w="90" w:type="dxa"/>
              <w:bottom w:w="80" w:type="dxa"/>
              <w:end w:w="90" w:type="dxa"/>
            </w:tcMar>
          </w:tcPr>
          <w:p>
            <w:pPr>
              <w:keepLines/>
              <w:jc w:val="center"/>
            </w:pPr>
            <w:r>
              <w:rPr>
                <w:rFonts w:ascii="Aptos" w:hAnsi="Aptos"/>
                <w:b/>
                <w:color w:val="FFFFFF"/>
                <w:sz w:val="16"/>
              </w:rPr>
              <w:t>log L1</w:t>
            </w:r>
          </w:p>
        </w:tc>
        <w:tc>
          <w:tcPr>
            <w:tcW w:type="dxa" w:w="1728"/>
            <w:shd w:fill="1F4E78"/>
            <w:vAlign w:val="center"/>
            <w:tcMar>
              <w:top w:w="80" w:type="dxa"/>
              <w:start w:w="90" w:type="dxa"/>
              <w:bottom w:w="80" w:type="dxa"/>
              <w:end w:w="90" w:type="dxa"/>
            </w:tcMar>
          </w:tcPr>
          <w:p>
            <w:pPr>
              <w:keepLines/>
              <w:jc w:val="center"/>
            </w:pPr>
            <w:r>
              <w:rPr>
                <w:rFonts w:ascii="Aptos" w:hAnsi="Aptos"/>
                <w:b/>
                <w:color w:val="FFFFFF"/>
                <w:sz w:val="16"/>
              </w:rPr>
              <w:t>log L infinity</w:t>
            </w:r>
          </w:p>
        </w:tc>
        <w:tc>
          <w:tcPr>
            <w:tcW w:type="dxa" w:w="2160"/>
            <w:shd w:fill="1F4E78"/>
            <w:vAlign w:val="center"/>
            <w:tcMar>
              <w:top w:w="80" w:type="dxa"/>
              <w:start w:w="90" w:type="dxa"/>
              <w:bottom w:w="80" w:type="dxa"/>
              <w:end w:w="90" w:type="dxa"/>
            </w:tcMar>
          </w:tcPr>
          <w:p>
            <w:pPr>
              <w:keepLines/>
              <w:jc w:val="center"/>
            </w:pPr>
            <w:r>
              <w:rPr>
                <w:rFonts w:ascii="Aptos" w:hAnsi="Aptos"/>
                <w:b/>
                <w:color w:val="FFFFFF"/>
                <w:sz w:val="16"/>
              </w:rPr>
              <w:t>Overall rank</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G</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0.1949</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0.2390</w:t>
            </w:r>
          </w:p>
        </w:tc>
        <w:tc>
          <w:tcPr>
            <w:tcW w:type="dxa" w:w="1728"/>
            <w:vAlign w:val="center"/>
            <w:tcMar>
              <w:top w:w="80" w:type="dxa"/>
              <w:start w:w="90" w:type="dxa"/>
              <w:bottom w:w="80" w:type="dxa"/>
              <w:end w:w="90" w:type="dxa"/>
            </w:tcMar>
          </w:tcPr>
          <w:p>
            <w:pPr>
              <w:keepLines/>
              <w:spacing w:after="0" w:line="240" w:lineRule="auto"/>
              <w:jc w:val="center"/>
            </w:pPr>
            <w:r>
              <w:rPr>
                <w:rFonts w:ascii="Aptos" w:hAnsi="Aptos"/>
                <w:sz w:val="16"/>
              </w:rPr>
              <w:t>0.1637</w:t>
            </w:r>
          </w:p>
        </w:tc>
        <w:tc>
          <w:tcPr>
            <w:tcW w:type="dxa" w:w="2160"/>
            <w:vAlign w:val="center"/>
            <w:tcMar>
              <w:top w:w="80" w:type="dxa"/>
              <w:start w:w="90" w:type="dxa"/>
              <w:bottom w:w="80" w:type="dxa"/>
              <w:end w:w="90" w:type="dxa"/>
            </w:tcMar>
          </w:tcPr>
          <w:p>
            <w:pPr>
              <w:keepLines/>
              <w:spacing w:after="0" w:line="240" w:lineRule="auto"/>
              <w:jc w:val="center"/>
            </w:pPr>
            <w:r>
              <w:rPr>
                <w:rFonts w:ascii="Aptos" w:hAnsi="Aptos"/>
                <w:sz w:val="16"/>
              </w:rPr>
              <w:t>1</w:t>
            </w:r>
          </w:p>
        </w:tc>
      </w:tr>
      <w:tr>
        <w:tc>
          <w:tcPr>
            <w:tcW w:type="dxa" w:w="2088"/>
            <w:shd w:fill="F2F6FA"/>
            <w:vAlign w:val="center"/>
            <w:tcMar>
              <w:top w:w="80" w:type="dxa"/>
              <w:start w:w="90" w:type="dxa"/>
              <w:bottom w:w="80" w:type="dxa"/>
              <w:end w:w="90" w:type="dxa"/>
            </w:tcMar>
          </w:tcPr>
          <w:p>
            <w:pPr>
              <w:keepLines/>
              <w:spacing w:after="0" w:line="240" w:lineRule="auto"/>
              <w:jc w:val="left"/>
            </w:pPr>
            <w:r>
              <w:rPr>
                <w:rFonts w:ascii="Aptos" w:hAnsi="Aptos"/>
                <w:sz w:val="16"/>
              </w:rPr>
              <w:t>sigma</w:t>
            </w:r>
          </w:p>
        </w:tc>
        <w:tc>
          <w:tcPr>
            <w:tcW w:type="dxa" w:w="1584"/>
            <w:shd w:fill="F2F6FA"/>
            <w:vAlign w:val="center"/>
            <w:tcMar>
              <w:top w:w="80" w:type="dxa"/>
              <w:start w:w="90" w:type="dxa"/>
              <w:bottom w:w="80" w:type="dxa"/>
              <w:end w:w="90" w:type="dxa"/>
            </w:tcMar>
          </w:tcPr>
          <w:p>
            <w:pPr>
              <w:keepLines/>
              <w:spacing w:after="0" w:line="240" w:lineRule="auto"/>
              <w:jc w:val="center"/>
            </w:pPr>
            <w:r>
              <w:rPr>
                <w:rFonts w:ascii="Aptos" w:hAnsi="Aptos"/>
                <w:sz w:val="16"/>
              </w:rPr>
              <w:t>0.1870</w:t>
            </w:r>
          </w:p>
        </w:tc>
        <w:tc>
          <w:tcPr>
            <w:tcW w:type="dxa" w:w="1584"/>
            <w:shd w:fill="F2F6FA"/>
            <w:vAlign w:val="center"/>
            <w:tcMar>
              <w:top w:w="80" w:type="dxa"/>
              <w:start w:w="90" w:type="dxa"/>
              <w:bottom w:w="80" w:type="dxa"/>
              <w:end w:w="90" w:type="dxa"/>
            </w:tcMar>
          </w:tcPr>
          <w:p>
            <w:pPr>
              <w:keepLines/>
              <w:spacing w:after="0" w:line="240" w:lineRule="auto"/>
              <w:jc w:val="center"/>
            </w:pPr>
            <w:r>
              <w:rPr>
                <w:rFonts w:ascii="Aptos" w:hAnsi="Aptos"/>
                <w:sz w:val="16"/>
              </w:rPr>
              <w:t>0.2223</w:t>
            </w:r>
          </w:p>
        </w:tc>
        <w:tc>
          <w:tcPr>
            <w:tcW w:type="dxa" w:w="1728"/>
            <w:shd w:fill="F2F6FA"/>
            <w:vAlign w:val="center"/>
            <w:tcMar>
              <w:top w:w="80" w:type="dxa"/>
              <w:start w:w="90" w:type="dxa"/>
              <w:bottom w:w="80" w:type="dxa"/>
              <w:end w:w="90" w:type="dxa"/>
            </w:tcMar>
          </w:tcPr>
          <w:p>
            <w:pPr>
              <w:keepLines/>
              <w:spacing w:after="0" w:line="240" w:lineRule="auto"/>
              <w:jc w:val="center"/>
            </w:pPr>
            <w:r>
              <w:rPr>
                <w:rFonts w:ascii="Aptos" w:hAnsi="Aptos"/>
                <w:sz w:val="16"/>
              </w:rPr>
              <w:t>0.1622</w:t>
            </w:r>
          </w:p>
        </w:tc>
        <w:tc>
          <w:tcPr>
            <w:tcW w:type="dxa" w:w="2160"/>
            <w:shd w:fill="F2F6FA"/>
            <w:vAlign w:val="center"/>
            <w:tcMar>
              <w:top w:w="80" w:type="dxa"/>
              <w:start w:w="90" w:type="dxa"/>
              <w:bottom w:w="80" w:type="dxa"/>
              <w:end w:w="90" w:type="dxa"/>
            </w:tcMar>
          </w:tcPr>
          <w:p>
            <w:pPr>
              <w:keepLines/>
              <w:spacing w:after="0" w:line="240" w:lineRule="auto"/>
              <w:jc w:val="center"/>
            </w:pPr>
            <w:r>
              <w:rPr>
                <w:rFonts w:ascii="Aptos" w:hAnsi="Aptos"/>
                <w:sz w:val="16"/>
              </w:rPr>
              <w:t>2 nearly tied</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mean_nsamp</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0.0337</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0.0502</w:t>
            </w:r>
          </w:p>
        </w:tc>
        <w:tc>
          <w:tcPr>
            <w:tcW w:type="dxa" w:w="1728"/>
            <w:vAlign w:val="center"/>
            <w:tcMar>
              <w:top w:w="80" w:type="dxa"/>
              <w:start w:w="90" w:type="dxa"/>
              <w:bottom w:w="80" w:type="dxa"/>
              <w:end w:w="90" w:type="dxa"/>
            </w:tcMar>
          </w:tcPr>
          <w:p>
            <w:pPr>
              <w:keepLines/>
              <w:spacing w:after="0" w:line="240" w:lineRule="auto"/>
              <w:jc w:val="center"/>
            </w:pPr>
            <w:r>
              <w:rPr>
                <w:rFonts w:ascii="Aptos" w:hAnsi="Aptos"/>
                <w:sz w:val="16"/>
              </w:rPr>
              <w:t>0.0251</w:t>
            </w:r>
          </w:p>
        </w:tc>
        <w:tc>
          <w:tcPr>
            <w:tcW w:type="dxa" w:w="2160"/>
            <w:vAlign w:val="center"/>
            <w:tcMar>
              <w:top w:w="80" w:type="dxa"/>
              <w:start w:w="90" w:type="dxa"/>
              <w:bottom w:w="80" w:type="dxa"/>
              <w:end w:w="90" w:type="dxa"/>
            </w:tcMar>
          </w:tcPr>
          <w:p>
            <w:pPr>
              <w:keepLines/>
              <w:spacing w:after="0" w:line="240" w:lineRule="auto"/>
              <w:jc w:val="center"/>
            </w:pPr>
            <w:r>
              <w:rPr>
                <w:rFonts w:ascii="Aptos" w:hAnsi="Aptos"/>
                <w:sz w:val="16"/>
              </w:rPr>
              <w:t>3</w:t>
            </w:r>
          </w:p>
        </w:tc>
      </w:tr>
      <w:tr>
        <w:tc>
          <w:tcPr>
            <w:tcW w:type="dxa" w:w="2088"/>
            <w:shd w:fill="F2F6FA"/>
            <w:vAlign w:val="center"/>
            <w:tcMar>
              <w:top w:w="80" w:type="dxa"/>
              <w:start w:w="90" w:type="dxa"/>
              <w:bottom w:w="80" w:type="dxa"/>
              <w:end w:w="90" w:type="dxa"/>
            </w:tcMar>
          </w:tcPr>
          <w:p>
            <w:pPr>
              <w:keepLines/>
              <w:spacing w:after="0" w:line="240" w:lineRule="auto"/>
              <w:jc w:val="left"/>
            </w:pPr>
            <w:r>
              <w:rPr>
                <w:rFonts w:ascii="Aptos" w:hAnsi="Aptos"/>
                <w:sz w:val="16"/>
              </w:rPr>
              <w:t>design_block</w:t>
            </w:r>
          </w:p>
        </w:tc>
        <w:tc>
          <w:tcPr>
            <w:tcW w:type="dxa" w:w="1584"/>
            <w:shd w:fill="F2F6FA"/>
            <w:vAlign w:val="center"/>
            <w:tcMar>
              <w:top w:w="80" w:type="dxa"/>
              <w:start w:w="90" w:type="dxa"/>
              <w:bottom w:w="80" w:type="dxa"/>
              <w:end w:w="90" w:type="dxa"/>
            </w:tcMar>
          </w:tcPr>
          <w:p>
            <w:pPr>
              <w:keepLines/>
              <w:spacing w:after="0" w:line="240" w:lineRule="auto"/>
              <w:jc w:val="center"/>
            </w:pPr>
            <w:r>
              <w:rPr>
                <w:rFonts w:ascii="Aptos" w:hAnsi="Aptos"/>
                <w:sz w:val="16"/>
              </w:rPr>
              <w:t>0.0143</w:t>
            </w:r>
          </w:p>
        </w:tc>
        <w:tc>
          <w:tcPr>
            <w:tcW w:type="dxa" w:w="1584"/>
            <w:shd w:fill="F2F6FA"/>
            <w:vAlign w:val="center"/>
            <w:tcMar>
              <w:top w:w="80" w:type="dxa"/>
              <w:start w:w="90" w:type="dxa"/>
              <w:bottom w:w="80" w:type="dxa"/>
              <w:end w:w="90" w:type="dxa"/>
            </w:tcMar>
          </w:tcPr>
          <w:p>
            <w:pPr>
              <w:keepLines/>
              <w:spacing w:after="0" w:line="240" w:lineRule="auto"/>
              <w:jc w:val="center"/>
            </w:pPr>
            <w:r>
              <w:rPr>
                <w:rFonts w:ascii="Aptos" w:hAnsi="Aptos"/>
                <w:sz w:val="16"/>
              </w:rPr>
              <w:t>0.0175</w:t>
            </w:r>
          </w:p>
        </w:tc>
        <w:tc>
          <w:tcPr>
            <w:tcW w:type="dxa" w:w="1728"/>
            <w:shd w:fill="F2F6FA"/>
            <w:vAlign w:val="center"/>
            <w:tcMar>
              <w:top w:w="80" w:type="dxa"/>
              <w:start w:w="90" w:type="dxa"/>
              <w:bottom w:w="80" w:type="dxa"/>
              <w:end w:w="90" w:type="dxa"/>
            </w:tcMar>
          </w:tcPr>
          <w:p>
            <w:pPr>
              <w:keepLines/>
              <w:spacing w:after="0" w:line="240" w:lineRule="auto"/>
              <w:jc w:val="center"/>
            </w:pPr>
            <w:r>
              <w:rPr>
                <w:rFonts w:ascii="Aptos" w:hAnsi="Aptos"/>
                <w:sz w:val="16"/>
              </w:rPr>
              <w:t>0.0119</w:t>
            </w:r>
          </w:p>
        </w:tc>
        <w:tc>
          <w:tcPr>
            <w:tcW w:type="dxa" w:w="2160"/>
            <w:shd w:fill="F2F6FA"/>
            <w:vAlign w:val="center"/>
            <w:tcMar>
              <w:top w:w="80" w:type="dxa"/>
              <w:start w:w="90" w:type="dxa"/>
              <w:bottom w:w="80" w:type="dxa"/>
              <w:end w:w="90" w:type="dxa"/>
            </w:tcMar>
          </w:tcPr>
          <w:p>
            <w:pPr>
              <w:keepLines/>
              <w:spacing w:after="0" w:line="240" w:lineRule="auto"/>
              <w:jc w:val="center"/>
            </w:pPr>
            <w:r>
              <w:rPr>
                <w:rFonts w:ascii="Aptos" w:hAnsi="Aptos"/>
                <w:sz w:val="16"/>
              </w:rPr>
              <w:t>4</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method</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0.0137</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0.0156</w:t>
            </w:r>
          </w:p>
        </w:tc>
        <w:tc>
          <w:tcPr>
            <w:tcW w:type="dxa" w:w="1728"/>
            <w:vAlign w:val="center"/>
            <w:tcMar>
              <w:top w:w="80" w:type="dxa"/>
              <w:start w:w="90" w:type="dxa"/>
              <w:bottom w:w="80" w:type="dxa"/>
              <w:end w:w="90" w:type="dxa"/>
            </w:tcMar>
          </w:tcPr>
          <w:p>
            <w:pPr>
              <w:keepLines/>
              <w:spacing w:after="0" w:line="240" w:lineRule="auto"/>
              <w:jc w:val="center"/>
            </w:pPr>
            <w:r>
              <w:rPr>
                <w:rFonts w:ascii="Aptos" w:hAnsi="Aptos"/>
                <w:sz w:val="16"/>
              </w:rPr>
              <w:t>0.0114</w:t>
            </w:r>
          </w:p>
        </w:tc>
        <w:tc>
          <w:tcPr>
            <w:tcW w:type="dxa" w:w="2160"/>
            <w:vAlign w:val="center"/>
            <w:tcMar>
              <w:top w:w="80" w:type="dxa"/>
              <w:start w:w="90" w:type="dxa"/>
              <w:bottom w:w="80" w:type="dxa"/>
              <w:end w:w="90" w:type="dxa"/>
            </w:tcMar>
          </w:tcPr>
          <w:p>
            <w:pPr>
              <w:keepLines/>
              <w:spacing w:after="0" w:line="240" w:lineRule="auto"/>
              <w:jc w:val="center"/>
            </w:pPr>
            <w:r>
              <w:rPr>
                <w:rFonts w:ascii="Aptos" w:hAnsi="Aptos"/>
                <w:sz w:val="16"/>
              </w:rPr>
              <w:t>5</w:t>
            </w:r>
          </w:p>
        </w:tc>
      </w:tr>
      <w:tr>
        <w:tc>
          <w:tcPr>
            <w:tcW w:type="dxa" w:w="2088"/>
            <w:shd w:fill="F2F6FA"/>
            <w:vAlign w:val="center"/>
            <w:tcMar>
              <w:top w:w="80" w:type="dxa"/>
              <w:start w:w="90" w:type="dxa"/>
              <w:bottom w:w="80" w:type="dxa"/>
              <w:end w:w="90" w:type="dxa"/>
            </w:tcMar>
          </w:tcPr>
          <w:p>
            <w:pPr>
              <w:keepLines/>
              <w:spacing w:after="0" w:line="240" w:lineRule="auto"/>
              <w:jc w:val="left"/>
            </w:pPr>
            <w:r>
              <w:rPr>
                <w:rFonts w:ascii="Aptos" w:hAnsi="Aptos"/>
                <w:sz w:val="16"/>
              </w:rPr>
              <w:t>theta_true</w:t>
            </w:r>
          </w:p>
        </w:tc>
        <w:tc>
          <w:tcPr>
            <w:tcW w:type="dxa" w:w="1584"/>
            <w:shd w:fill="F2F6FA"/>
            <w:vAlign w:val="center"/>
            <w:tcMar>
              <w:top w:w="80" w:type="dxa"/>
              <w:start w:w="90" w:type="dxa"/>
              <w:bottom w:w="80" w:type="dxa"/>
              <w:end w:w="90" w:type="dxa"/>
            </w:tcMar>
          </w:tcPr>
          <w:p>
            <w:pPr>
              <w:keepLines/>
              <w:spacing w:after="0" w:line="240" w:lineRule="auto"/>
              <w:jc w:val="center"/>
            </w:pPr>
            <w:r>
              <w:rPr>
                <w:rFonts w:ascii="Aptos" w:hAnsi="Aptos"/>
                <w:sz w:val="16"/>
              </w:rPr>
              <w:t>0.0089</w:t>
            </w:r>
          </w:p>
        </w:tc>
        <w:tc>
          <w:tcPr>
            <w:tcW w:type="dxa" w:w="1584"/>
            <w:shd w:fill="F2F6FA"/>
            <w:vAlign w:val="center"/>
            <w:tcMar>
              <w:top w:w="80" w:type="dxa"/>
              <w:start w:w="90" w:type="dxa"/>
              <w:bottom w:w="80" w:type="dxa"/>
              <w:end w:w="90" w:type="dxa"/>
            </w:tcMar>
          </w:tcPr>
          <w:p>
            <w:pPr>
              <w:keepLines/>
              <w:spacing w:after="0" w:line="240" w:lineRule="auto"/>
              <w:jc w:val="center"/>
            </w:pPr>
            <w:r>
              <w:rPr>
                <w:rFonts w:ascii="Aptos" w:hAnsi="Aptos"/>
                <w:sz w:val="16"/>
              </w:rPr>
              <w:t>0.0132</w:t>
            </w:r>
          </w:p>
        </w:tc>
        <w:tc>
          <w:tcPr>
            <w:tcW w:type="dxa" w:w="1728"/>
            <w:shd w:fill="F2F6FA"/>
            <w:vAlign w:val="center"/>
            <w:tcMar>
              <w:top w:w="80" w:type="dxa"/>
              <w:start w:w="90" w:type="dxa"/>
              <w:bottom w:w="80" w:type="dxa"/>
              <w:end w:w="90" w:type="dxa"/>
            </w:tcMar>
          </w:tcPr>
          <w:p>
            <w:pPr>
              <w:keepLines/>
              <w:spacing w:after="0" w:line="240" w:lineRule="auto"/>
              <w:jc w:val="center"/>
            </w:pPr>
            <w:r>
              <w:rPr>
                <w:rFonts w:ascii="Aptos" w:hAnsi="Aptos"/>
                <w:sz w:val="16"/>
              </w:rPr>
              <w:t>0.0067</w:t>
            </w:r>
          </w:p>
        </w:tc>
        <w:tc>
          <w:tcPr>
            <w:tcW w:type="dxa" w:w="2160"/>
            <w:shd w:fill="F2F6FA"/>
            <w:vAlign w:val="center"/>
            <w:tcMar>
              <w:top w:w="80" w:type="dxa"/>
              <w:start w:w="90" w:type="dxa"/>
              <w:bottom w:w="80" w:type="dxa"/>
              <w:end w:w="90" w:type="dxa"/>
            </w:tcMar>
          </w:tcPr>
          <w:p>
            <w:pPr>
              <w:keepLines/>
              <w:spacing w:after="0" w:line="240" w:lineRule="auto"/>
              <w:jc w:val="center"/>
            </w:pPr>
            <w:r>
              <w:rPr>
                <w:rFonts w:ascii="Aptos" w:hAnsi="Aptos"/>
                <w:sz w:val="16"/>
              </w:rPr>
              <w:t>6</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theta_CV</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0.0006</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0.0008</w:t>
            </w:r>
          </w:p>
        </w:tc>
        <w:tc>
          <w:tcPr>
            <w:tcW w:type="dxa" w:w="1728"/>
            <w:vAlign w:val="center"/>
            <w:tcMar>
              <w:top w:w="80" w:type="dxa"/>
              <w:start w:w="90" w:type="dxa"/>
              <w:bottom w:w="80" w:type="dxa"/>
              <w:end w:w="90" w:type="dxa"/>
            </w:tcMar>
          </w:tcPr>
          <w:p>
            <w:pPr>
              <w:keepLines/>
              <w:spacing w:after="0" w:line="240" w:lineRule="auto"/>
              <w:jc w:val="center"/>
            </w:pPr>
            <w:r>
              <w:rPr>
                <w:rFonts w:ascii="Aptos" w:hAnsi="Aptos"/>
                <w:sz w:val="16"/>
              </w:rPr>
              <w:t>0.0005</w:t>
            </w:r>
          </w:p>
        </w:tc>
        <w:tc>
          <w:tcPr>
            <w:tcW w:type="dxa" w:w="2160"/>
            <w:vAlign w:val="center"/>
            <w:tcMar>
              <w:top w:w="80" w:type="dxa"/>
              <w:start w:w="90" w:type="dxa"/>
              <w:bottom w:w="80" w:type="dxa"/>
              <w:end w:w="90" w:type="dxa"/>
            </w:tcMar>
          </w:tcPr>
          <w:p>
            <w:pPr>
              <w:keepLines/>
              <w:spacing w:after="0" w:line="240" w:lineRule="auto"/>
              <w:jc w:val="center"/>
            </w:pPr>
            <w:r>
              <w:rPr>
                <w:rFonts w:ascii="Aptos" w:hAnsi="Aptos"/>
                <w:sz w:val="16"/>
              </w:rPr>
              <w:t>7</w:t>
            </w:r>
          </w:p>
        </w:tc>
      </w:tr>
      <w:tr>
        <w:tc>
          <w:tcPr>
            <w:tcW w:type="dxa" w:w="2088"/>
            <w:shd w:fill="F2F6FA"/>
            <w:vAlign w:val="center"/>
            <w:tcMar>
              <w:top w:w="80" w:type="dxa"/>
              <w:start w:w="90" w:type="dxa"/>
              <w:bottom w:w="80" w:type="dxa"/>
              <w:end w:w="90" w:type="dxa"/>
            </w:tcMar>
          </w:tcPr>
          <w:p>
            <w:pPr>
              <w:keepLines/>
              <w:spacing w:after="0" w:line="240" w:lineRule="auto"/>
              <w:jc w:val="left"/>
            </w:pPr>
            <w:r>
              <w:rPr>
                <w:rFonts w:ascii="Aptos" w:hAnsi="Aptos"/>
                <w:sz w:val="16"/>
              </w:rPr>
              <w:t>p1</w:t>
            </w:r>
          </w:p>
        </w:tc>
        <w:tc>
          <w:tcPr>
            <w:tcW w:type="dxa" w:w="1584"/>
            <w:shd w:fill="F2F6FA"/>
            <w:vAlign w:val="center"/>
            <w:tcMar>
              <w:top w:w="80" w:type="dxa"/>
              <w:start w:w="90" w:type="dxa"/>
              <w:bottom w:w="80" w:type="dxa"/>
              <w:end w:w="90" w:type="dxa"/>
            </w:tcMar>
          </w:tcPr>
          <w:p>
            <w:pPr>
              <w:keepLines/>
              <w:spacing w:after="0" w:line="240" w:lineRule="auto"/>
              <w:jc w:val="center"/>
            </w:pPr>
            <w:r>
              <w:rPr>
                <w:rFonts w:ascii="Aptos" w:hAnsi="Aptos"/>
                <w:sz w:val="16"/>
              </w:rPr>
              <w:t>0.00002</w:t>
            </w:r>
          </w:p>
        </w:tc>
        <w:tc>
          <w:tcPr>
            <w:tcW w:type="dxa" w:w="1584"/>
            <w:shd w:fill="F2F6FA"/>
            <w:vAlign w:val="center"/>
            <w:tcMar>
              <w:top w:w="80" w:type="dxa"/>
              <w:start w:w="90" w:type="dxa"/>
              <w:bottom w:w="80" w:type="dxa"/>
              <w:end w:w="90" w:type="dxa"/>
            </w:tcMar>
          </w:tcPr>
          <w:p>
            <w:pPr>
              <w:keepLines/>
              <w:spacing w:after="0" w:line="240" w:lineRule="auto"/>
              <w:jc w:val="center"/>
            </w:pPr>
            <w:r>
              <w:rPr>
                <w:rFonts w:ascii="Aptos" w:hAnsi="Aptos"/>
                <w:sz w:val="16"/>
              </w:rPr>
              <w:t>0.00002</w:t>
            </w:r>
          </w:p>
        </w:tc>
        <w:tc>
          <w:tcPr>
            <w:tcW w:type="dxa" w:w="1728"/>
            <w:shd w:fill="F2F6FA"/>
            <w:vAlign w:val="center"/>
            <w:tcMar>
              <w:top w:w="80" w:type="dxa"/>
              <w:start w:w="90" w:type="dxa"/>
              <w:bottom w:w="80" w:type="dxa"/>
              <w:end w:w="90" w:type="dxa"/>
            </w:tcMar>
          </w:tcPr>
          <w:p>
            <w:pPr>
              <w:keepLines/>
              <w:spacing w:after="0" w:line="240" w:lineRule="auto"/>
              <w:jc w:val="center"/>
            </w:pPr>
            <w:r>
              <w:rPr>
                <w:rFonts w:ascii="Aptos" w:hAnsi="Aptos"/>
                <w:sz w:val="16"/>
              </w:rPr>
              <w:t>0.00001</w:t>
            </w:r>
          </w:p>
        </w:tc>
        <w:tc>
          <w:tcPr>
            <w:tcW w:type="dxa" w:w="2160"/>
            <w:shd w:fill="F2F6FA"/>
            <w:vAlign w:val="center"/>
            <w:tcMar>
              <w:top w:w="80" w:type="dxa"/>
              <w:start w:w="90" w:type="dxa"/>
              <w:bottom w:w="80" w:type="dxa"/>
              <w:end w:w="90" w:type="dxa"/>
            </w:tcMar>
          </w:tcPr>
          <w:p>
            <w:pPr>
              <w:keepLines/>
              <w:spacing w:after="0" w:line="240" w:lineRule="auto"/>
              <w:jc w:val="center"/>
            </w:pPr>
            <w:r>
              <w:rPr>
                <w:rFonts w:ascii="Aptos" w:hAnsi="Aptos"/>
                <w:sz w:val="16"/>
              </w:rPr>
              <w:t>8 negligible</w:t>
            </w:r>
          </w:p>
        </w:tc>
      </w:tr>
      <w:tr>
        <w:tc>
          <w:tcPr>
            <w:tcW w:type="dxa" w:w="2088"/>
            <w:vAlign w:val="center"/>
            <w:tcMar>
              <w:top w:w="80" w:type="dxa"/>
              <w:start w:w="90" w:type="dxa"/>
              <w:bottom w:w="80" w:type="dxa"/>
              <w:end w:w="90" w:type="dxa"/>
            </w:tcMar>
          </w:tcPr>
          <w:p>
            <w:pPr>
              <w:keepLines/>
              <w:spacing w:after="0" w:line="240" w:lineRule="auto"/>
              <w:jc w:val="left"/>
            </w:pPr>
            <w:r>
              <w:rPr>
                <w:rFonts w:ascii="Aptos" w:hAnsi="Aptos"/>
                <w:sz w:val="16"/>
              </w:rPr>
              <w:t>p2</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w:t>
            </w:r>
          </w:p>
        </w:tc>
        <w:tc>
          <w:tcPr>
            <w:tcW w:type="dxa" w:w="1584"/>
            <w:vAlign w:val="center"/>
            <w:tcMar>
              <w:top w:w="80" w:type="dxa"/>
              <w:start w:w="90" w:type="dxa"/>
              <w:bottom w:w="80" w:type="dxa"/>
              <w:end w:w="90" w:type="dxa"/>
            </w:tcMar>
          </w:tcPr>
          <w:p>
            <w:pPr>
              <w:keepLines/>
              <w:spacing w:after="0" w:line="240" w:lineRule="auto"/>
              <w:jc w:val="center"/>
            </w:pPr>
            <w:r>
              <w:rPr>
                <w:rFonts w:ascii="Aptos" w:hAnsi="Aptos"/>
                <w:sz w:val="16"/>
              </w:rPr>
              <w:t>~0</w:t>
            </w:r>
          </w:p>
        </w:tc>
        <w:tc>
          <w:tcPr>
            <w:tcW w:type="dxa" w:w="1728"/>
            <w:vAlign w:val="center"/>
            <w:tcMar>
              <w:top w:w="80" w:type="dxa"/>
              <w:start w:w="90" w:type="dxa"/>
              <w:bottom w:w="80" w:type="dxa"/>
              <w:end w:w="90" w:type="dxa"/>
            </w:tcMar>
          </w:tcPr>
          <w:p>
            <w:pPr>
              <w:keepLines/>
              <w:spacing w:after="0" w:line="240" w:lineRule="auto"/>
              <w:jc w:val="center"/>
            </w:pPr>
            <w:r>
              <w:rPr>
                <w:rFonts w:ascii="Aptos" w:hAnsi="Aptos"/>
                <w:sz w:val="16"/>
              </w:rPr>
              <w:t>~0</w:t>
            </w:r>
          </w:p>
        </w:tc>
        <w:tc>
          <w:tcPr>
            <w:tcW w:type="dxa" w:w="2160"/>
            <w:vAlign w:val="center"/>
            <w:tcMar>
              <w:top w:w="80" w:type="dxa"/>
              <w:start w:w="90" w:type="dxa"/>
              <w:bottom w:w="80" w:type="dxa"/>
              <w:end w:w="90" w:type="dxa"/>
            </w:tcMar>
          </w:tcPr>
          <w:p>
            <w:pPr>
              <w:keepLines/>
              <w:spacing w:after="0" w:line="240" w:lineRule="auto"/>
              <w:jc w:val="center"/>
            </w:pPr>
            <w:r>
              <w:rPr>
                <w:rFonts w:ascii="Aptos" w:hAnsi="Aptos"/>
                <w:sz w:val="16"/>
              </w:rPr>
              <w:t>9 null</w:t>
            </w:r>
          </w:p>
        </w:tc>
      </w:tr>
    </w:tbl>
    <w:p>
      <w:pPr>
        <w:spacing w:after="20"/>
      </w:pPr>
    </w:p>
    <w:p>
      <w:pPr>
        <w:pStyle w:val="TableNote"/>
      </w:pPr>
      <w:r>
        <w:t>Note. Values are approximate partial eta squared calculated from rounded printed sums of squares. Overall rank emphasizes consistency across metrics.</w:t>
      </w:r>
    </w:p>
    <w:p>
      <w:pPr>
        <w:pStyle w:val="Heading2"/>
      </w:pPr>
      <w:r>
        <w:t>Interaction effect sizes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2376"/>
            <w:shd w:fill="1F4E78"/>
            <w:vAlign w:val="center"/>
            <w:tcMar>
              <w:top w:w="80" w:type="dxa"/>
              <w:start w:w="90" w:type="dxa"/>
              <w:bottom w:w="80" w:type="dxa"/>
              <w:end w:w="90" w:type="dxa"/>
            </w:tcMar>
          </w:tcPr>
          <w:p>
            <w:pPr>
              <w:keepLines/>
              <w:jc w:val="center"/>
            </w:pPr>
            <w:r>
              <w:rPr>
                <w:rFonts w:ascii="Aptos" w:hAnsi="Aptos"/>
                <w:b/>
                <w:color w:val="FFFFFF"/>
                <w:sz w:val="16"/>
              </w:rPr>
              <w:t>Interaction</w:t>
            </w:r>
          </w:p>
        </w:tc>
        <w:tc>
          <w:tcPr>
            <w:tcW w:type="dxa" w:w="1512"/>
            <w:shd w:fill="1F4E78"/>
            <w:vAlign w:val="center"/>
            <w:tcMar>
              <w:top w:w="80" w:type="dxa"/>
              <w:start w:w="90" w:type="dxa"/>
              <w:bottom w:w="80" w:type="dxa"/>
              <w:end w:w="90" w:type="dxa"/>
            </w:tcMar>
          </w:tcPr>
          <w:p>
            <w:pPr>
              <w:keepLines/>
              <w:jc w:val="center"/>
            </w:pPr>
            <w:r>
              <w:rPr>
                <w:rFonts w:ascii="Aptos" w:hAnsi="Aptos"/>
                <w:b/>
                <w:color w:val="FFFFFF"/>
                <w:sz w:val="16"/>
              </w:rPr>
              <w:t>log RMSE</w:t>
            </w:r>
          </w:p>
        </w:tc>
        <w:tc>
          <w:tcPr>
            <w:tcW w:type="dxa" w:w="1512"/>
            <w:shd w:fill="1F4E78"/>
            <w:vAlign w:val="center"/>
            <w:tcMar>
              <w:top w:w="80" w:type="dxa"/>
              <w:start w:w="90" w:type="dxa"/>
              <w:bottom w:w="80" w:type="dxa"/>
              <w:end w:w="90" w:type="dxa"/>
            </w:tcMar>
          </w:tcPr>
          <w:p>
            <w:pPr>
              <w:keepLines/>
              <w:jc w:val="center"/>
            </w:pPr>
            <w:r>
              <w:rPr>
                <w:rFonts w:ascii="Aptos" w:hAnsi="Aptos"/>
                <w:b/>
                <w:color w:val="FFFFFF"/>
                <w:sz w:val="16"/>
              </w:rPr>
              <w:t>log L1</w:t>
            </w:r>
          </w:p>
        </w:tc>
        <w:tc>
          <w:tcPr>
            <w:tcW w:type="dxa" w:w="1656"/>
            <w:shd w:fill="1F4E78"/>
            <w:vAlign w:val="center"/>
            <w:tcMar>
              <w:top w:w="80" w:type="dxa"/>
              <w:start w:w="90" w:type="dxa"/>
              <w:bottom w:w="80" w:type="dxa"/>
              <w:end w:w="90" w:type="dxa"/>
            </w:tcMar>
          </w:tcPr>
          <w:p>
            <w:pPr>
              <w:keepLines/>
              <w:jc w:val="center"/>
            </w:pPr>
            <w:r>
              <w:rPr>
                <w:rFonts w:ascii="Aptos" w:hAnsi="Aptos"/>
                <w:b/>
                <w:color w:val="FFFFFF"/>
                <w:sz w:val="16"/>
              </w:rPr>
              <w:t>log L infinity</w:t>
            </w:r>
          </w:p>
        </w:tc>
        <w:tc>
          <w:tcPr>
            <w:tcW w:type="dxa" w:w="2952"/>
            <w:shd w:fill="1F4E78"/>
            <w:vAlign w:val="center"/>
            <w:tcMar>
              <w:top w:w="80" w:type="dxa"/>
              <w:start w:w="90" w:type="dxa"/>
              <w:bottom w:w="80" w:type="dxa"/>
              <w:end w:w="90" w:type="dxa"/>
            </w:tcMar>
          </w:tcPr>
          <w:p>
            <w:pPr>
              <w:keepLines/>
              <w:jc w:val="center"/>
            </w:pPr>
            <w:r>
              <w:rPr>
                <w:rFonts w:ascii="Aptos" w:hAnsi="Aptos"/>
                <w:b/>
                <w:color w:val="FFFFFF"/>
                <w:sz w:val="16"/>
              </w:rPr>
              <w:t>Interpretation</w:t>
            </w:r>
          </w:p>
        </w:tc>
      </w:tr>
      <w:tr>
        <w:tc>
          <w:tcPr>
            <w:tcW w:type="dxa" w:w="2376"/>
            <w:vAlign w:val="center"/>
            <w:tcMar>
              <w:top w:w="80" w:type="dxa"/>
              <w:start w:w="90" w:type="dxa"/>
              <w:bottom w:w="80" w:type="dxa"/>
              <w:end w:w="90" w:type="dxa"/>
            </w:tcMar>
          </w:tcPr>
          <w:p>
            <w:pPr>
              <w:keepLines/>
              <w:spacing w:after="0" w:line="240" w:lineRule="auto"/>
              <w:jc w:val="left"/>
            </w:pPr>
            <w:r>
              <w:rPr>
                <w:rFonts w:ascii="Aptos" w:hAnsi="Aptos"/>
                <w:sz w:val="16"/>
              </w:rPr>
              <w:t>method x sigma</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0.00867</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0.00796</w:t>
            </w:r>
          </w:p>
        </w:tc>
        <w:tc>
          <w:tcPr>
            <w:tcW w:type="dxa" w:w="1656"/>
            <w:vAlign w:val="center"/>
            <w:tcMar>
              <w:top w:w="80" w:type="dxa"/>
              <w:start w:w="90" w:type="dxa"/>
              <w:bottom w:w="80" w:type="dxa"/>
              <w:end w:w="90" w:type="dxa"/>
            </w:tcMar>
          </w:tcPr>
          <w:p>
            <w:pPr>
              <w:keepLines/>
              <w:spacing w:after="0" w:line="240" w:lineRule="auto"/>
              <w:jc w:val="center"/>
            </w:pPr>
            <w:r>
              <w:rPr>
                <w:rFonts w:ascii="Aptos" w:hAnsi="Aptos"/>
                <w:sz w:val="16"/>
              </w:rPr>
              <w:t>0.00794</w:t>
            </w:r>
          </w:p>
        </w:tc>
        <w:tc>
          <w:tcPr>
            <w:tcW w:type="dxa" w:w="2952"/>
            <w:vAlign w:val="center"/>
            <w:tcMar>
              <w:top w:w="80" w:type="dxa"/>
              <w:start w:w="90" w:type="dxa"/>
              <w:bottom w:w="80" w:type="dxa"/>
              <w:end w:w="90" w:type="dxa"/>
            </w:tcMar>
          </w:tcPr>
          <w:p>
            <w:pPr>
              <w:keepLines/>
              <w:spacing w:after="0" w:line="240" w:lineRule="auto"/>
              <w:jc w:val="left"/>
            </w:pPr>
            <w:r>
              <w:rPr>
                <w:rFonts w:ascii="Aptos" w:hAnsi="Aptos"/>
                <w:sz w:val="16"/>
              </w:rPr>
              <w:t>Largest and practically relevant interaction</w:t>
            </w:r>
          </w:p>
        </w:tc>
      </w:tr>
      <w:tr>
        <w:tc>
          <w:tcPr>
            <w:tcW w:type="dxa" w:w="2376"/>
            <w:shd w:fill="F2F6FA"/>
            <w:vAlign w:val="center"/>
            <w:tcMar>
              <w:top w:w="80" w:type="dxa"/>
              <w:start w:w="90" w:type="dxa"/>
              <w:bottom w:w="80" w:type="dxa"/>
              <w:end w:w="90" w:type="dxa"/>
            </w:tcMar>
          </w:tcPr>
          <w:p>
            <w:pPr>
              <w:keepLines/>
              <w:spacing w:after="0" w:line="240" w:lineRule="auto"/>
              <w:jc w:val="left"/>
            </w:pPr>
            <w:r>
              <w:rPr>
                <w:rFonts w:ascii="Aptos" w:hAnsi="Aptos"/>
                <w:sz w:val="16"/>
              </w:rPr>
              <w:t>method x G</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0.00197</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0.00153</w:t>
            </w:r>
          </w:p>
        </w:tc>
        <w:tc>
          <w:tcPr>
            <w:tcW w:type="dxa" w:w="1656"/>
            <w:shd w:fill="F2F6FA"/>
            <w:vAlign w:val="center"/>
            <w:tcMar>
              <w:top w:w="80" w:type="dxa"/>
              <w:start w:w="90" w:type="dxa"/>
              <w:bottom w:w="80" w:type="dxa"/>
              <w:end w:w="90" w:type="dxa"/>
            </w:tcMar>
          </w:tcPr>
          <w:p>
            <w:pPr>
              <w:keepLines/>
              <w:spacing w:after="0" w:line="240" w:lineRule="auto"/>
              <w:jc w:val="center"/>
            </w:pPr>
            <w:r>
              <w:rPr>
                <w:rFonts w:ascii="Aptos" w:hAnsi="Aptos"/>
                <w:sz w:val="16"/>
              </w:rPr>
              <w:t>0.00185</w:t>
            </w:r>
          </w:p>
        </w:tc>
        <w:tc>
          <w:tcPr>
            <w:tcW w:type="dxa" w:w="2952"/>
            <w:shd w:fill="F2F6FA"/>
            <w:vAlign w:val="center"/>
            <w:tcMar>
              <w:top w:w="80" w:type="dxa"/>
              <w:start w:w="90" w:type="dxa"/>
              <w:bottom w:w="80" w:type="dxa"/>
              <w:end w:w="90" w:type="dxa"/>
            </w:tcMar>
          </w:tcPr>
          <w:p>
            <w:pPr>
              <w:keepLines/>
              <w:spacing w:after="0" w:line="240" w:lineRule="auto"/>
              <w:jc w:val="left"/>
            </w:pPr>
            <w:r>
              <w:rPr>
                <w:rFonts w:ascii="Aptos" w:hAnsi="Aptos"/>
                <w:sz w:val="16"/>
              </w:rPr>
              <w:t>Small but consistent</w:t>
            </w:r>
          </w:p>
        </w:tc>
      </w:tr>
      <w:tr>
        <w:tc>
          <w:tcPr>
            <w:tcW w:type="dxa" w:w="2376"/>
            <w:vAlign w:val="center"/>
            <w:tcMar>
              <w:top w:w="80" w:type="dxa"/>
              <w:start w:w="90" w:type="dxa"/>
              <w:bottom w:w="80" w:type="dxa"/>
              <w:end w:w="90" w:type="dxa"/>
            </w:tcMar>
          </w:tcPr>
          <w:p>
            <w:pPr>
              <w:keepLines/>
              <w:spacing w:after="0" w:line="240" w:lineRule="auto"/>
              <w:jc w:val="left"/>
            </w:pPr>
            <w:r>
              <w:rPr>
                <w:rFonts w:ascii="Aptos" w:hAnsi="Aptos"/>
                <w:sz w:val="16"/>
              </w:rPr>
              <w:t>method x mean_nsamp</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0.00087</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0.00089</w:t>
            </w:r>
          </w:p>
        </w:tc>
        <w:tc>
          <w:tcPr>
            <w:tcW w:type="dxa" w:w="1656"/>
            <w:vAlign w:val="center"/>
            <w:tcMar>
              <w:top w:w="80" w:type="dxa"/>
              <w:start w:w="90" w:type="dxa"/>
              <w:bottom w:w="80" w:type="dxa"/>
              <w:end w:w="90" w:type="dxa"/>
            </w:tcMar>
          </w:tcPr>
          <w:p>
            <w:pPr>
              <w:keepLines/>
              <w:spacing w:after="0" w:line="240" w:lineRule="auto"/>
              <w:jc w:val="center"/>
            </w:pPr>
            <w:r>
              <w:rPr>
                <w:rFonts w:ascii="Aptos" w:hAnsi="Aptos"/>
                <w:sz w:val="16"/>
              </w:rPr>
              <w:t>0.00076</w:t>
            </w:r>
          </w:p>
        </w:tc>
        <w:tc>
          <w:tcPr>
            <w:tcW w:type="dxa" w:w="2952"/>
            <w:vAlign w:val="center"/>
            <w:tcMar>
              <w:top w:w="80" w:type="dxa"/>
              <w:start w:w="90" w:type="dxa"/>
              <w:bottom w:w="80" w:type="dxa"/>
              <w:end w:w="90" w:type="dxa"/>
            </w:tcMar>
          </w:tcPr>
          <w:p>
            <w:pPr>
              <w:keepLines/>
              <w:spacing w:after="0" w:line="240" w:lineRule="auto"/>
              <w:jc w:val="left"/>
            </w:pPr>
            <w:r>
              <w:rPr>
                <w:rFonts w:ascii="Aptos" w:hAnsi="Aptos"/>
                <w:sz w:val="16"/>
              </w:rPr>
              <w:t>Small but consistent</w:t>
            </w:r>
          </w:p>
        </w:tc>
      </w:tr>
      <w:tr>
        <w:tc>
          <w:tcPr>
            <w:tcW w:type="dxa" w:w="2376"/>
            <w:shd w:fill="F2F6FA"/>
            <w:vAlign w:val="center"/>
            <w:tcMar>
              <w:top w:w="80" w:type="dxa"/>
              <w:start w:w="90" w:type="dxa"/>
              <w:bottom w:w="80" w:type="dxa"/>
              <w:end w:w="90" w:type="dxa"/>
            </w:tcMar>
          </w:tcPr>
          <w:p>
            <w:pPr>
              <w:keepLines/>
              <w:spacing w:after="0" w:line="240" w:lineRule="auto"/>
              <w:jc w:val="left"/>
            </w:pPr>
            <w:r>
              <w:rPr>
                <w:rFonts w:ascii="Aptos" w:hAnsi="Aptos"/>
                <w:sz w:val="16"/>
              </w:rPr>
              <w:t>method x theta_true</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0.00068</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0.00066</w:t>
            </w:r>
          </w:p>
        </w:tc>
        <w:tc>
          <w:tcPr>
            <w:tcW w:type="dxa" w:w="1656"/>
            <w:shd w:fill="F2F6FA"/>
            <w:vAlign w:val="center"/>
            <w:tcMar>
              <w:top w:w="80" w:type="dxa"/>
              <w:start w:w="90" w:type="dxa"/>
              <w:bottom w:w="80" w:type="dxa"/>
              <w:end w:w="90" w:type="dxa"/>
            </w:tcMar>
          </w:tcPr>
          <w:p>
            <w:pPr>
              <w:keepLines/>
              <w:spacing w:after="0" w:line="240" w:lineRule="auto"/>
              <w:jc w:val="center"/>
            </w:pPr>
            <w:r>
              <w:rPr>
                <w:rFonts w:ascii="Aptos" w:hAnsi="Aptos"/>
                <w:sz w:val="16"/>
              </w:rPr>
              <w:t>0.00064</w:t>
            </w:r>
          </w:p>
        </w:tc>
        <w:tc>
          <w:tcPr>
            <w:tcW w:type="dxa" w:w="2952"/>
            <w:shd w:fill="F2F6FA"/>
            <w:vAlign w:val="center"/>
            <w:tcMar>
              <w:top w:w="80" w:type="dxa"/>
              <w:start w:w="90" w:type="dxa"/>
              <w:bottom w:w="80" w:type="dxa"/>
              <w:end w:w="90" w:type="dxa"/>
            </w:tcMar>
          </w:tcPr>
          <w:p>
            <w:pPr>
              <w:keepLines/>
              <w:spacing w:after="0" w:line="240" w:lineRule="auto"/>
              <w:jc w:val="left"/>
            </w:pPr>
            <w:r>
              <w:rPr>
                <w:rFonts w:ascii="Aptos" w:hAnsi="Aptos"/>
                <w:sz w:val="16"/>
              </w:rPr>
              <w:t>Small but consistent</w:t>
            </w:r>
          </w:p>
        </w:tc>
      </w:tr>
      <w:tr>
        <w:tc>
          <w:tcPr>
            <w:tcW w:type="dxa" w:w="2376"/>
            <w:vAlign w:val="center"/>
            <w:tcMar>
              <w:top w:w="80" w:type="dxa"/>
              <w:start w:w="90" w:type="dxa"/>
              <w:bottom w:w="80" w:type="dxa"/>
              <w:end w:w="90" w:type="dxa"/>
            </w:tcMar>
          </w:tcPr>
          <w:p>
            <w:pPr>
              <w:keepLines/>
              <w:spacing w:after="0" w:line="240" w:lineRule="auto"/>
              <w:jc w:val="left"/>
            </w:pPr>
            <w:r>
              <w:rPr>
                <w:rFonts w:ascii="Aptos" w:hAnsi="Aptos"/>
                <w:sz w:val="16"/>
              </w:rPr>
              <w:t>method x design_block</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0.00049</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0.00049</w:t>
            </w:r>
          </w:p>
        </w:tc>
        <w:tc>
          <w:tcPr>
            <w:tcW w:type="dxa" w:w="1656"/>
            <w:vAlign w:val="center"/>
            <w:tcMar>
              <w:top w:w="80" w:type="dxa"/>
              <w:start w:w="90" w:type="dxa"/>
              <w:bottom w:w="80" w:type="dxa"/>
              <w:end w:w="90" w:type="dxa"/>
            </w:tcMar>
          </w:tcPr>
          <w:p>
            <w:pPr>
              <w:keepLines/>
              <w:spacing w:after="0" w:line="240" w:lineRule="auto"/>
              <w:jc w:val="center"/>
            </w:pPr>
            <w:r>
              <w:rPr>
                <w:rFonts w:ascii="Aptos" w:hAnsi="Aptos"/>
                <w:sz w:val="16"/>
              </w:rPr>
              <w:t>0.00050</w:t>
            </w:r>
          </w:p>
        </w:tc>
        <w:tc>
          <w:tcPr>
            <w:tcW w:type="dxa" w:w="2952"/>
            <w:vAlign w:val="center"/>
            <w:tcMar>
              <w:top w:w="80" w:type="dxa"/>
              <w:start w:w="90" w:type="dxa"/>
              <w:bottom w:w="80" w:type="dxa"/>
              <w:end w:w="90" w:type="dxa"/>
            </w:tcMar>
          </w:tcPr>
          <w:p>
            <w:pPr>
              <w:keepLines/>
              <w:spacing w:after="0" w:line="240" w:lineRule="auto"/>
              <w:jc w:val="left"/>
            </w:pPr>
            <w:r>
              <w:rPr>
                <w:rFonts w:ascii="Aptos" w:hAnsi="Aptos"/>
                <w:sz w:val="16"/>
              </w:rPr>
              <w:t>Small distribution dependence</w:t>
            </w:r>
          </w:p>
        </w:tc>
      </w:tr>
      <w:tr>
        <w:tc>
          <w:tcPr>
            <w:tcW w:type="dxa" w:w="2376"/>
            <w:shd w:fill="F2F6FA"/>
            <w:vAlign w:val="center"/>
            <w:tcMar>
              <w:top w:w="80" w:type="dxa"/>
              <w:start w:w="90" w:type="dxa"/>
              <w:bottom w:w="80" w:type="dxa"/>
              <w:end w:w="90" w:type="dxa"/>
            </w:tcMar>
          </w:tcPr>
          <w:p>
            <w:pPr>
              <w:keepLines/>
              <w:spacing w:after="0" w:line="240" w:lineRule="auto"/>
              <w:jc w:val="left"/>
            </w:pPr>
            <w:r>
              <w:rPr>
                <w:rFonts w:ascii="Aptos" w:hAnsi="Aptos"/>
                <w:sz w:val="16"/>
              </w:rPr>
              <w:t>method x theta_CV</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0.00002</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0.00004</w:t>
            </w:r>
          </w:p>
        </w:tc>
        <w:tc>
          <w:tcPr>
            <w:tcW w:type="dxa" w:w="1656"/>
            <w:shd w:fill="F2F6FA"/>
            <w:vAlign w:val="center"/>
            <w:tcMar>
              <w:top w:w="80" w:type="dxa"/>
              <w:start w:w="90" w:type="dxa"/>
              <w:bottom w:w="80" w:type="dxa"/>
              <w:end w:w="90" w:type="dxa"/>
            </w:tcMar>
          </w:tcPr>
          <w:p>
            <w:pPr>
              <w:keepLines/>
              <w:spacing w:after="0" w:line="240" w:lineRule="auto"/>
              <w:jc w:val="center"/>
            </w:pPr>
            <w:r>
              <w:rPr>
                <w:rFonts w:ascii="Aptos" w:hAnsi="Aptos"/>
                <w:sz w:val="16"/>
              </w:rPr>
              <w:t>0.00003</w:t>
            </w:r>
          </w:p>
        </w:tc>
        <w:tc>
          <w:tcPr>
            <w:tcW w:type="dxa" w:w="2952"/>
            <w:shd w:fill="F2F6FA"/>
            <w:vAlign w:val="center"/>
            <w:tcMar>
              <w:top w:w="80" w:type="dxa"/>
              <w:start w:w="90" w:type="dxa"/>
              <w:bottom w:w="80" w:type="dxa"/>
              <w:end w:w="90" w:type="dxa"/>
            </w:tcMar>
          </w:tcPr>
          <w:p>
            <w:pPr>
              <w:keepLines/>
              <w:spacing w:after="0" w:line="240" w:lineRule="auto"/>
              <w:jc w:val="left"/>
            </w:pPr>
            <w:r>
              <w:rPr>
                <w:rFonts w:ascii="Aptos" w:hAnsi="Aptos"/>
                <w:sz w:val="16"/>
              </w:rPr>
              <w:t>Negligible; marginal p values</w:t>
            </w:r>
          </w:p>
        </w:tc>
      </w:tr>
      <w:tr>
        <w:tc>
          <w:tcPr>
            <w:tcW w:type="dxa" w:w="2376"/>
            <w:vAlign w:val="center"/>
            <w:tcMar>
              <w:top w:w="80" w:type="dxa"/>
              <w:start w:w="90" w:type="dxa"/>
              <w:bottom w:w="80" w:type="dxa"/>
              <w:end w:w="90" w:type="dxa"/>
            </w:tcMar>
          </w:tcPr>
          <w:p>
            <w:pPr>
              <w:keepLines/>
              <w:spacing w:after="0" w:line="240" w:lineRule="auto"/>
              <w:jc w:val="left"/>
            </w:pPr>
            <w:r>
              <w:rPr>
                <w:rFonts w:ascii="Aptos" w:hAnsi="Aptos"/>
                <w:sz w:val="16"/>
              </w:rPr>
              <w:t>method x p1 or p2</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&lt;= 0.00002</w:t>
            </w:r>
          </w:p>
        </w:tc>
        <w:tc>
          <w:tcPr>
            <w:tcW w:type="dxa" w:w="1656"/>
            <w:vAlign w:val="center"/>
            <w:tcMar>
              <w:top w:w="80" w:type="dxa"/>
              <w:start w:w="90" w:type="dxa"/>
              <w:bottom w:w="80" w:type="dxa"/>
              <w:end w:w="90" w:type="dxa"/>
            </w:tcMar>
          </w:tcPr>
          <w:p>
            <w:pPr>
              <w:keepLines/>
              <w:spacing w:after="0" w:line="240" w:lineRule="auto"/>
              <w:jc w:val="center"/>
            </w:pPr>
            <w:r>
              <w:rPr>
                <w:rFonts w:ascii="Aptos" w:hAnsi="Aptos"/>
                <w:sz w:val="16"/>
              </w:rPr>
              <w:t>&lt;= 0.00001</w:t>
            </w:r>
          </w:p>
        </w:tc>
        <w:tc>
          <w:tcPr>
            <w:tcW w:type="dxa" w:w="2952"/>
            <w:vAlign w:val="center"/>
            <w:tcMar>
              <w:top w:w="80" w:type="dxa"/>
              <w:start w:w="90" w:type="dxa"/>
              <w:bottom w:w="80" w:type="dxa"/>
              <w:end w:w="90" w:type="dxa"/>
            </w:tcMar>
          </w:tcPr>
          <w:p>
            <w:pPr>
              <w:keepLines/>
              <w:spacing w:after="0" w:line="240" w:lineRule="auto"/>
              <w:jc w:val="left"/>
            </w:pPr>
            <w:r>
              <w:rPr>
                <w:rFonts w:ascii="Aptos" w:hAnsi="Aptos"/>
                <w:sz w:val="16"/>
              </w:rPr>
              <w:t>No material evidence</w:t>
            </w:r>
          </w:p>
        </w:tc>
      </w:tr>
    </w:tbl>
    <w:p>
      <w:pPr>
        <w:spacing w:after="20"/>
      </w:pPr>
    </w:p>
    <w:p>
      <w:r>
        <w:t>The dominance of G and sigma is not merely a consequence of the very large sample. Their effect sizes are one to two orders of magnitude larger than most remaining factors. In contrast, several interactions have extremely small partial eta squared values despite p &lt; 2e-16. This is the expected divergence between statistical and practical significance in a 500,000-record analysis.</w:t>
      </w:r>
    </w:p>
    <w:p>
      <w:pPr>
        <w:pStyle w:val="Heading1"/>
      </w:pPr>
      <w:r>
        <w:t>4 Comparative performance and virtual post hoc synthesis</w:t>
      </w:r>
    </w:p>
    <w:p>
      <w:r>
        <w:t>The estimated marginal means were evaluated at negative-binomial sampling, G = 4, theta_true = 2, theta_CV = 0.6, sigma = 1, mean_nsamp = 100, and p1 and p2 near 1/6. At this reference condition, lower values consistently favor i and v. These two methods are statistically indistinguishable for log RMSE (Holm p = 0.2596), log L1 (p = 0.2750), and log L-infinity (p = 0.2996). Method ii is significantly worse than every other method for all three outcomes. Methods iii and iv form the middle tier, with iv numerically better; their difference is significant for log RMSE (p = 0.0132) and log L-infinity (p = 0.0022), but not log L1 (p = 0.0833).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1080"/>
            <w:shd w:fill="1F4E78"/>
            <w:vAlign w:val="center"/>
            <w:tcMar>
              <w:top w:w="80" w:type="dxa"/>
              <w:start w:w="90" w:type="dxa"/>
              <w:bottom w:w="80" w:type="dxa"/>
              <w:end w:w="90" w:type="dxa"/>
            </w:tcMar>
          </w:tcPr>
          <w:p>
            <w:pPr>
              <w:keepLines/>
              <w:jc w:val="center"/>
            </w:pPr>
            <w:r>
              <w:rPr>
                <w:rFonts w:ascii="Aptos" w:hAnsi="Aptos"/>
                <w:b/>
                <w:color w:val="FFFFFF"/>
                <w:sz w:val="16"/>
              </w:rPr>
              <w:t>Method</w:t>
            </w:r>
          </w:p>
        </w:tc>
        <w:tc>
          <w:tcPr>
            <w:tcW w:type="dxa" w:w="1512"/>
            <w:shd w:fill="1F4E78"/>
            <w:vAlign w:val="center"/>
            <w:tcMar>
              <w:top w:w="80" w:type="dxa"/>
              <w:start w:w="90" w:type="dxa"/>
              <w:bottom w:w="80" w:type="dxa"/>
              <w:end w:w="90" w:type="dxa"/>
            </w:tcMar>
          </w:tcPr>
          <w:p>
            <w:pPr>
              <w:keepLines/>
              <w:jc w:val="center"/>
            </w:pPr>
            <w:r>
              <w:rPr>
                <w:rFonts w:ascii="Aptos" w:hAnsi="Aptos"/>
                <w:b/>
                <w:color w:val="FFFFFF"/>
                <w:sz w:val="16"/>
              </w:rPr>
              <w:t>log RMSE EMM</w:t>
            </w:r>
          </w:p>
        </w:tc>
        <w:tc>
          <w:tcPr>
            <w:tcW w:type="dxa" w:w="1440"/>
            <w:shd w:fill="1F4E78"/>
            <w:vAlign w:val="center"/>
            <w:tcMar>
              <w:top w:w="80" w:type="dxa"/>
              <w:start w:w="90" w:type="dxa"/>
              <w:bottom w:w="80" w:type="dxa"/>
              <w:end w:w="90" w:type="dxa"/>
            </w:tcMar>
          </w:tcPr>
          <w:p>
            <w:pPr>
              <w:keepLines/>
              <w:jc w:val="center"/>
            </w:pPr>
            <w:r>
              <w:rPr>
                <w:rFonts w:ascii="Aptos" w:hAnsi="Aptos"/>
                <w:b/>
                <w:color w:val="FFFFFF"/>
                <w:sz w:val="16"/>
              </w:rPr>
              <w:t>log L1 EMM</w:t>
            </w:r>
          </w:p>
        </w:tc>
        <w:tc>
          <w:tcPr>
            <w:tcW w:type="dxa" w:w="1800"/>
            <w:shd w:fill="1F4E78"/>
            <w:vAlign w:val="center"/>
            <w:tcMar>
              <w:top w:w="80" w:type="dxa"/>
              <w:start w:w="90" w:type="dxa"/>
              <w:bottom w:w="80" w:type="dxa"/>
              <w:end w:w="90" w:type="dxa"/>
            </w:tcMar>
          </w:tcPr>
          <w:p>
            <w:pPr>
              <w:keepLines/>
              <w:jc w:val="center"/>
            </w:pPr>
            <w:r>
              <w:rPr>
                <w:rFonts w:ascii="Aptos" w:hAnsi="Aptos"/>
                <w:b/>
                <w:color w:val="FFFFFF"/>
                <w:sz w:val="16"/>
              </w:rPr>
              <w:t>log L infinity EMM</w:t>
            </w:r>
          </w:p>
        </w:tc>
        <w:tc>
          <w:tcPr>
            <w:tcW w:type="dxa" w:w="3960"/>
            <w:shd w:fill="1F4E78"/>
            <w:vAlign w:val="center"/>
            <w:tcMar>
              <w:top w:w="80" w:type="dxa"/>
              <w:start w:w="90" w:type="dxa"/>
              <w:bottom w:w="80" w:type="dxa"/>
              <w:end w:w="90" w:type="dxa"/>
            </w:tcMar>
          </w:tcPr>
          <w:p>
            <w:pPr>
              <w:keepLines/>
              <w:jc w:val="center"/>
            </w:pPr>
            <w:r>
              <w:rPr>
                <w:rFonts w:ascii="Aptos" w:hAnsi="Aptos"/>
                <w:b/>
                <w:color w:val="FFFFFF"/>
                <w:sz w:val="16"/>
              </w:rPr>
              <w:t>Synthesis at reference condition</w:t>
            </w:r>
          </w:p>
        </w:tc>
      </w:tr>
      <w:tr>
        <w:tc>
          <w:tcPr>
            <w:tcW w:type="dxa" w:w="1080"/>
            <w:vAlign w:val="center"/>
            <w:tcMar>
              <w:top w:w="80" w:type="dxa"/>
              <w:start w:w="90" w:type="dxa"/>
              <w:bottom w:w="80" w:type="dxa"/>
              <w:end w:w="90" w:type="dxa"/>
            </w:tcMar>
          </w:tcPr>
          <w:p>
            <w:pPr>
              <w:keepLines/>
              <w:spacing w:after="0" w:line="240" w:lineRule="auto"/>
              <w:jc w:val="left"/>
            </w:pPr>
            <w:r>
              <w:rPr>
                <w:rFonts w:ascii="Aptos" w:hAnsi="Aptos"/>
                <w:sz w:val="16"/>
              </w:rPr>
              <w:t>i</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0.0618</w:t>
            </w:r>
          </w:p>
        </w:tc>
        <w:tc>
          <w:tcPr>
            <w:tcW w:type="dxa" w:w="1440"/>
            <w:vAlign w:val="center"/>
            <w:tcMar>
              <w:top w:w="80" w:type="dxa"/>
              <w:start w:w="90" w:type="dxa"/>
              <w:bottom w:w="80" w:type="dxa"/>
              <w:end w:w="90" w:type="dxa"/>
            </w:tcMar>
          </w:tcPr>
          <w:p>
            <w:pPr>
              <w:keepLines/>
              <w:spacing w:after="0" w:line="240" w:lineRule="auto"/>
              <w:jc w:val="center"/>
            </w:pPr>
            <w:r>
              <w:rPr>
                <w:rFonts w:ascii="Aptos" w:hAnsi="Aptos"/>
                <w:sz w:val="16"/>
              </w:rPr>
              <w:t>0.259</w:t>
            </w:r>
          </w:p>
        </w:tc>
        <w:tc>
          <w:tcPr>
            <w:tcW w:type="dxa" w:w="1800"/>
            <w:vAlign w:val="center"/>
            <w:tcMar>
              <w:top w:w="80" w:type="dxa"/>
              <w:start w:w="90" w:type="dxa"/>
              <w:bottom w:w="80" w:type="dxa"/>
              <w:end w:w="90" w:type="dxa"/>
            </w:tcMar>
          </w:tcPr>
          <w:p>
            <w:pPr>
              <w:keepLines/>
              <w:spacing w:after="0" w:line="240" w:lineRule="auto"/>
              <w:jc w:val="center"/>
            </w:pPr>
            <w:r>
              <w:rPr>
                <w:rFonts w:ascii="Aptos" w:hAnsi="Aptos"/>
                <w:sz w:val="16"/>
              </w:rPr>
              <w:t>0.109</w:t>
            </w:r>
          </w:p>
        </w:tc>
        <w:tc>
          <w:tcPr>
            <w:tcW w:type="dxa" w:w="3960"/>
            <w:vAlign w:val="center"/>
            <w:tcMar>
              <w:top w:w="80" w:type="dxa"/>
              <w:start w:w="90" w:type="dxa"/>
              <w:bottom w:w="80" w:type="dxa"/>
              <w:end w:w="90" w:type="dxa"/>
            </w:tcMar>
          </w:tcPr>
          <w:p>
            <w:pPr>
              <w:keepLines/>
              <w:spacing w:after="0" w:line="240" w:lineRule="auto"/>
              <w:jc w:val="center"/>
            </w:pPr>
            <w:r>
              <w:rPr>
                <w:rFonts w:ascii="Aptos" w:hAnsi="Aptos"/>
                <w:sz w:val="16"/>
              </w:rPr>
              <w:t>Best; tied statistically with v</w:t>
            </w:r>
          </w:p>
        </w:tc>
      </w:tr>
      <w:tr>
        <w:tc>
          <w:tcPr>
            <w:tcW w:type="dxa" w:w="1080"/>
            <w:shd w:fill="F2F6FA"/>
            <w:vAlign w:val="center"/>
            <w:tcMar>
              <w:top w:w="80" w:type="dxa"/>
              <w:start w:w="90" w:type="dxa"/>
              <w:bottom w:w="80" w:type="dxa"/>
              <w:end w:w="90" w:type="dxa"/>
            </w:tcMar>
          </w:tcPr>
          <w:p>
            <w:pPr>
              <w:keepLines/>
              <w:spacing w:after="0" w:line="240" w:lineRule="auto"/>
              <w:jc w:val="left"/>
            </w:pPr>
            <w:r>
              <w:rPr>
                <w:rFonts w:ascii="Aptos" w:hAnsi="Aptos"/>
                <w:sz w:val="16"/>
              </w:rPr>
              <w:t>v</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0.0623</w:t>
            </w:r>
          </w:p>
        </w:tc>
        <w:tc>
          <w:tcPr>
            <w:tcW w:type="dxa" w:w="1440"/>
            <w:shd w:fill="F2F6FA"/>
            <w:vAlign w:val="center"/>
            <w:tcMar>
              <w:top w:w="80" w:type="dxa"/>
              <w:start w:w="90" w:type="dxa"/>
              <w:bottom w:w="80" w:type="dxa"/>
              <w:end w:w="90" w:type="dxa"/>
            </w:tcMar>
          </w:tcPr>
          <w:p>
            <w:pPr>
              <w:keepLines/>
              <w:spacing w:after="0" w:line="240" w:lineRule="auto"/>
              <w:jc w:val="center"/>
            </w:pPr>
            <w:r>
              <w:rPr>
                <w:rFonts w:ascii="Aptos" w:hAnsi="Aptos"/>
                <w:sz w:val="16"/>
              </w:rPr>
              <w:t>0.261</w:t>
            </w:r>
          </w:p>
        </w:tc>
        <w:tc>
          <w:tcPr>
            <w:tcW w:type="dxa" w:w="1800"/>
            <w:shd w:fill="F2F6FA"/>
            <w:vAlign w:val="center"/>
            <w:tcMar>
              <w:top w:w="80" w:type="dxa"/>
              <w:start w:w="90" w:type="dxa"/>
              <w:bottom w:w="80" w:type="dxa"/>
              <w:end w:w="90" w:type="dxa"/>
            </w:tcMar>
          </w:tcPr>
          <w:p>
            <w:pPr>
              <w:keepLines/>
              <w:spacing w:after="0" w:line="240" w:lineRule="auto"/>
              <w:jc w:val="center"/>
            </w:pPr>
            <w:r>
              <w:rPr>
                <w:rFonts w:ascii="Aptos" w:hAnsi="Aptos"/>
                <w:sz w:val="16"/>
              </w:rPr>
              <w:t>0.110</w:t>
            </w:r>
          </w:p>
        </w:tc>
        <w:tc>
          <w:tcPr>
            <w:tcW w:type="dxa" w:w="3960"/>
            <w:shd w:fill="F2F6FA"/>
            <w:vAlign w:val="center"/>
            <w:tcMar>
              <w:top w:w="80" w:type="dxa"/>
              <w:start w:w="90" w:type="dxa"/>
              <w:bottom w:w="80" w:type="dxa"/>
              <w:end w:w="90" w:type="dxa"/>
            </w:tcMar>
          </w:tcPr>
          <w:p>
            <w:pPr>
              <w:keepLines/>
              <w:spacing w:after="0" w:line="240" w:lineRule="auto"/>
              <w:jc w:val="center"/>
            </w:pPr>
            <w:r>
              <w:rPr>
                <w:rFonts w:ascii="Aptos" w:hAnsi="Aptos"/>
                <w:sz w:val="16"/>
              </w:rPr>
              <w:t>Best; tied statistically with i</w:t>
            </w:r>
          </w:p>
        </w:tc>
      </w:tr>
      <w:tr>
        <w:tc>
          <w:tcPr>
            <w:tcW w:type="dxa" w:w="1080"/>
            <w:vAlign w:val="center"/>
            <w:tcMar>
              <w:top w:w="80" w:type="dxa"/>
              <w:start w:w="90" w:type="dxa"/>
              <w:bottom w:w="80" w:type="dxa"/>
              <w:end w:w="90" w:type="dxa"/>
            </w:tcMar>
          </w:tcPr>
          <w:p>
            <w:pPr>
              <w:keepLines/>
              <w:spacing w:after="0" w:line="240" w:lineRule="auto"/>
              <w:jc w:val="left"/>
            </w:pPr>
            <w:r>
              <w:rPr>
                <w:rFonts w:ascii="Aptos" w:hAnsi="Aptos"/>
                <w:sz w:val="16"/>
              </w:rPr>
              <w:t>iv</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0.0671</w:t>
            </w:r>
          </w:p>
        </w:tc>
        <w:tc>
          <w:tcPr>
            <w:tcW w:type="dxa" w:w="1440"/>
            <w:vAlign w:val="center"/>
            <w:tcMar>
              <w:top w:w="80" w:type="dxa"/>
              <w:start w:w="90" w:type="dxa"/>
              <w:bottom w:w="80" w:type="dxa"/>
              <w:end w:w="90" w:type="dxa"/>
            </w:tcMar>
          </w:tcPr>
          <w:p>
            <w:pPr>
              <w:keepLines/>
              <w:spacing w:after="0" w:line="240" w:lineRule="auto"/>
              <w:jc w:val="center"/>
            </w:pPr>
            <w:r>
              <w:rPr>
                <w:rFonts w:ascii="Aptos" w:hAnsi="Aptos"/>
                <w:sz w:val="16"/>
              </w:rPr>
              <w:t>0.280</w:t>
            </w:r>
          </w:p>
        </w:tc>
        <w:tc>
          <w:tcPr>
            <w:tcW w:type="dxa" w:w="1800"/>
            <w:vAlign w:val="center"/>
            <w:tcMar>
              <w:top w:w="80" w:type="dxa"/>
              <w:start w:w="90" w:type="dxa"/>
              <w:bottom w:w="80" w:type="dxa"/>
              <w:end w:w="90" w:type="dxa"/>
            </w:tcMar>
          </w:tcPr>
          <w:p>
            <w:pPr>
              <w:keepLines/>
              <w:spacing w:after="0" w:line="240" w:lineRule="auto"/>
              <w:jc w:val="center"/>
            </w:pPr>
            <w:r>
              <w:rPr>
                <w:rFonts w:ascii="Aptos" w:hAnsi="Aptos"/>
                <w:sz w:val="16"/>
              </w:rPr>
              <w:t>0.117</w:t>
            </w:r>
          </w:p>
        </w:tc>
        <w:tc>
          <w:tcPr>
            <w:tcW w:type="dxa" w:w="3960"/>
            <w:vAlign w:val="center"/>
            <w:tcMar>
              <w:top w:w="80" w:type="dxa"/>
              <w:start w:w="90" w:type="dxa"/>
              <w:bottom w:w="80" w:type="dxa"/>
              <w:end w:w="90" w:type="dxa"/>
            </w:tcMar>
          </w:tcPr>
          <w:p>
            <w:pPr>
              <w:keepLines/>
              <w:spacing w:after="0" w:line="240" w:lineRule="auto"/>
              <w:jc w:val="center"/>
            </w:pPr>
            <w:r>
              <w:rPr>
                <w:rFonts w:ascii="Aptos" w:hAnsi="Aptos"/>
                <w:sz w:val="16"/>
              </w:rPr>
              <w:t>Intermediate; generally better than iii</w:t>
            </w:r>
          </w:p>
        </w:tc>
      </w:tr>
      <w:tr>
        <w:tc>
          <w:tcPr>
            <w:tcW w:type="dxa" w:w="1080"/>
            <w:shd w:fill="F2F6FA"/>
            <w:vAlign w:val="center"/>
            <w:tcMar>
              <w:top w:w="80" w:type="dxa"/>
              <w:start w:w="90" w:type="dxa"/>
              <w:bottom w:w="80" w:type="dxa"/>
              <w:end w:w="90" w:type="dxa"/>
            </w:tcMar>
          </w:tcPr>
          <w:p>
            <w:pPr>
              <w:keepLines/>
              <w:spacing w:after="0" w:line="240" w:lineRule="auto"/>
              <w:jc w:val="left"/>
            </w:pPr>
            <w:r>
              <w:rPr>
                <w:rFonts w:ascii="Aptos" w:hAnsi="Aptos"/>
                <w:sz w:val="16"/>
              </w:rPr>
              <w:t>iii</w:t>
            </w:r>
          </w:p>
        </w:tc>
        <w:tc>
          <w:tcPr>
            <w:tcW w:type="dxa" w:w="1512"/>
            <w:shd w:fill="F2F6FA"/>
            <w:vAlign w:val="center"/>
            <w:tcMar>
              <w:top w:w="80" w:type="dxa"/>
              <w:start w:w="90" w:type="dxa"/>
              <w:bottom w:w="80" w:type="dxa"/>
              <w:end w:w="90" w:type="dxa"/>
            </w:tcMar>
          </w:tcPr>
          <w:p>
            <w:pPr>
              <w:keepLines/>
              <w:spacing w:after="0" w:line="240" w:lineRule="auto"/>
              <w:jc w:val="center"/>
            </w:pPr>
            <w:r>
              <w:rPr>
                <w:rFonts w:ascii="Aptos" w:hAnsi="Aptos"/>
                <w:sz w:val="16"/>
              </w:rPr>
              <w:t>0.0684</w:t>
            </w:r>
          </w:p>
        </w:tc>
        <w:tc>
          <w:tcPr>
            <w:tcW w:type="dxa" w:w="1440"/>
            <w:shd w:fill="F2F6FA"/>
            <w:vAlign w:val="center"/>
            <w:tcMar>
              <w:top w:w="80" w:type="dxa"/>
              <w:start w:w="90" w:type="dxa"/>
              <w:bottom w:w="80" w:type="dxa"/>
              <w:end w:w="90" w:type="dxa"/>
            </w:tcMar>
          </w:tcPr>
          <w:p>
            <w:pPr>
              <w:keepLines/>
              <w:spacing w:after="0" w:line="240" w:lineRule="auto"/>
              <w:jc w:val="center"/>
            </w:pPr>
            <w:r>
              <w:rPr>
                <w:rFonts w:ascii="Aptos" w:hAnsi="Aptos"/>
                <w:sz w:val="16"/>
              </w:rPr>
              <w:t>0.283</w:t>
            </w:r>
          </w:p>
        </w:tc>
        <w:tc>
          <w:tcPr>
            <w:tcW w:type="dxa" w:w="1800"/>
            <w:shd w:fill="F2F6FA"/>
            <w:vAlign w:val="center"/>
            <w:tcMar>
              <w:top w:w="80" w:type="dxa"/>
              <w:start w:w="90" w:type="dxa"/>
              <w:bottom w:w="80" w:type="dxa"/>
              <w:end w:w="90" w:type="dxa"/>
            </w:tcMar>
          </w:tcPr>
          <w:p>
            <w:pPr>
              <w:keepLines/>
              <w:spacing w:after="0" w:line="240" w:lineRule="auto"/>
              <w:jc w:val="center"/>
            </w:pPr>
            <w:r>
              <w:rPr>
                <w:rFonts w:ascii="Aptos" w:hAnsi="Aptos"/>
                <w:sz w:val="16"/>
              </w:rPr>
              <w:t>0.120</w:t>
            </w:r>
          </w:p>
        </w:tc>
        <w:tc>
          <w:tcPr>
            <w:tcW w:type="dxa" w:w="3960"/>
            <w:shd w:fill="F2F6FA"/>
            <w:vAlign w:val="center"/>
            <w:tcMar>
              <w:top w:w="80" w:type="dxa"/>
              <w:start w:w="90" w:type="dxa"/>
              <w:bottom w:w="80" w:type="dxa"/>
              <w:end w:w="90" w:type="dxa"/>
            </w:tcMar>
          </w:tcPr>
          <w:p>
            <w:pPr>
              <w:keepLines/>
              <w:spacing w:after="0" w:line="240" w:lineRule="auto"/>
              <w:jc w:val="center"/>
            </w:pPr>
            <w:r>
              <w:rPr>
                <w:rFonts w:ascii="Aptos" w:hAnsi="Aptos"/>
                <w:sz w:val="16"/>
              </w:rPr>
              <w:t>Intermediate</w:t>
            </w:r>
          </w:p>
        </w:tc>
      </w:tr>
      <w:tr>
        <w:tc>
          <w:tcPr>
            <w:tcW w:type="dxa" w:w="1080"/>
            <w:vAlign w:val="center"/>
            <w:tcMar>
              <w:top w:w="80" w:type="dxa"/>
              <w:start w:w="90" w:type="dxa"/>
              <w:bottom w:w="80" w:type="dxa"/>
              <w:end w:w="90" w:type="dxa"/>
            </w:tcMar>
          </w:tcPr>
          <w:p>
            <w:pPr>
              <w:keepLines/>
              <w:spacing w:after="0" w:line="240" w:lineRule="auto"/>
              <w:jc w:val="left"/>
            </w:pPr>
            <w:r>
              <w:rPr>
                <w:rFonts w:ascii="Aptos" w:hAnsi="Aptos"/>
                <w:sz w:val="16"/>
              </w:rPr>
              <w:t>ii</w:t>
            </w:r>
          </w:p>
        </w:tc>
        <w:tc>
          <w:tcPr>
            <w:tcW w:type="dxa" w:w="1512"/>
            <w:vAlign w:val="center"/>
            <w:tcMar>
              <w:top w:w="80" w:type="dxa"/>
              <w:start w:w="90" w:type="dxa"/>
              <w:bottom w:w="80" w:type="dxa"/>
              <w:end w:w="90" w:type="dxa"/>
            </w:tcMar>
          </w:tcPr>
          <w:p>
            <w:pPr>
              <w:keepLines/>
              <w:spacing w:after="0" w:line="240" w:lineRule="auto"/>
              <w:jc w:val="center"/>
            </w:pPr>
            <w:r>
              <w:rPr>
                <w:rFonts w:ascii="Aptos" w:hAnsi="Aptos"/>
                <w:sz w:val="16"/>
              </w:rPr>
              <w:t>0.0795</w:t>
            </w:r>
          </w:p>
        </w:tc>
        <w:tc>
          <w:tcPr>
            <w:tcW w:type="dxa" w:w="1440"/>
            <w:vAlign w:val="center"/>
            <w:tcMar>
              <w:top w:w="80" w:type="dxa"/>
              <w:start w:w="90" w:type="dxa"/>
              <w:bottom w:w="80" w:type="dxa"/>
              <w:end w:w="90" w:type="dxa"/>
            </w:tcMar>
          </w:tcPr>
          <w:p>
            <w:pPr>
              <w:keepLines/>
              <w:spacing w:after="0" w:line="240" w:lineRule="auto"/>
              <w:jc w:val="center"/>
            </w:pPr>
            <w:r>
              <w:rPr>
                <w:rFonts w:ascii="Aptos" w:hAnsi="Aptos"/>
                <w:sz w:val="16"/>
              </w:rPr>
              <w:t>0.321</w:t>
            </w:r>
          </w:p>
        </w:tc>
        <w:tc>
          <w:tcPr>
            <w:tcW w:type="dxa" w:w="1800"/>
            <w:vAlign w:val="center"/>
            <w:tcMar>
              <w:top w:w="80" w:type="dxa"/>
              <w:start w:w="90" w:type="dxa"/>
              <w:bottom w:w="80" w:type="dxa"/>
              <w:end w:w="90" w:type="dxa"/>
            </w:tcMar>
          </w:tcPr>
          <w:p>
            <w:pPr>
              <w:keepLines/>
              <w:spacing w:after="0" w:line="240" w:lineRule="auto"/>
              <w:jc w:val="center"/>
            </w:pPr>
            <w:r>
              <w:rPr>
                <w:rFonts w:ascii="Aptos" w:hAnsi="Aptos"/>
                <w:sz w:val="16"/>
              </w:rPr>
              <w:t>0.139</w:t>
            </w:r>
          </w:p>
        </w:tc>
        <w:tc>
          <w:tcPr>
            <w:tcW w:type="dxa" w:w="3960"/>
            <w:vAlign w:val="center"/>
            <w:tcMar>
              <w:top w:w="80" w:type="dxa"/>
              <w:start w:w="90" w:type="dxa"/>
              <w:bottom w:w="80" w:type="dxa"/>
              <w:end w:w="90" w:type="dxa"/>
            </w:tcMar>
          </w:tcPr>
          <w:p>
            <w:pPr>
              <w:keepLines/>
              <w:spacing w:after="0" w:line="240" w:lineRule="auto"/>
              <w:jc w:val="center"/>
            </w:pPr>
            <w:r>
              <w:rPr>
                <w:rFonts w:ascii="Aptos" w:hAnsi="Aptos"/>
                <w:sz w:val="16"/>
              </w:rPr>
              <w:t>Worst on all three metrics</w:t>
            </w:r>
          </w:p>
        </w:tc>
      </w:tr>
    </w:tbl>
    <w:p>
      <w:pPr>
        <w:spacing w:after="20"/>
      </w:pPr>
    </w:p>
    <w:p>
      <w:pPr>
        <w:pStyle w:val="TableNote"/>
      </w:pPr>
      <w:r>
        <w:t>Note. EMMs are on the modeled log-error scale and pertain to the explicitly reported reference condition, not an unconditional average over all factor levels.</w:t>
      </w:r>
    </w:p>
    <w:p>
      <w:pPr>
        <w:pStyle w:val="Heading2"/>
      </w:pPr>
      <w:r>
        <w:t>Robust versus specialized behavior</w:t>
      </w:r>
    </w:p>
    <w:p>
      <w:r>
        <w:t>Method i has the strongest evidence for robustness to increasing sigma and is in the top statistical group at the reference condition. Method v is similarly strong overall, is less sensitive to sigma than methods ii-iv, and benefits strongly from increased sample size. These features make i and v the most defensible broadly robust choices among the five, subject to confirmation with condition-specific EMMs across the entire factorial grid.</w:t>
      </w:r>
    </w:p>
    <w:p>
      <w:r>
        <w:t>Method ii is specialized rather than generally robust. Its reference-condition error is highest, and its error increases most rapidly with sigma; however, it receives the largest modeled improvement when G increases and when theta_true rises. Methods iii and iv are intermediate. Method iv is usually the better of the two, especially for L-infinity, and it benefits strongly from larger samples. Neither matches i or v at the reported reference condition.</w:t>
      </w:r>
    </w:p>
    <w:p>
      <w:r>
        <w:t>This synthesis is intentionally described as virtual post hoc analysis. The output provides pairwise method contrasts at one reference condition, not simple-effects contrasts at every level of sigma, G, sample size, theta_true, or design block. Significant interactions demonstrate that rankings can change, but a claim that one method is uniformly best at every cell would require an emmeans grid such as method by sigma, method by G, and method by mean_nsamp with multiplicity-adjusted contrasts.</w:t>
      </w:r>
    </w:p>
    <w:p>
      <w:pPr>
        <w:pStyle w:val="Heading1"/>
      </w:pPr>
      <w:r>
        <w:t>5 Proportion specific diagnostics</w:t>
      </w:r>
    </w:p>
    <w:p>
      <w:r>
        <w:t>Proportion estimates are bounded by zero and one, so their error distribution is generally heteroscedastic and may become asymmetric near the boundaries. A fixed absolute deviation represents a different amount of relative information near 0.01 than near 0.50. Boundary estimates can also generate spikes, skewness, and non-Gaussian residuals. These features may contribute to the strong effects of sigma, G, sample size, and theta_true and may partly explain the remaining unexplained variation in the L-infinity model.</w:t>
      </w:r>
    </w:p>
    <w:p>
      <w:pPr>
        <w:pStyle w:val="Heading2"/>
      </w:pPr>
      <w:r>
        <w:t>Transformation considerations</w:t>
      </w:r>
    </w:p>
    <w:p>
      <w:r>
        <w:t>The response labels indicate that the nonnegative error metrics were log transformed, which is a reasonable variance-stabilizing step for right-skewed RMSE, L1, and L-infinity values. The exact transform is not printed. If log1p was used, back-transformation should use exp(m) - 1; if ordinary logarithms were used, exp(m) is appropriate. Estimated marginal means should ideally be reported on both the fitted and response scales using the correct transformation and, when estimating means rather than medians, a bias adjustment.</w:t>
      </w:r>
    </w:p>
    <w:p>
      <w:r>
        <w:t>An arcsine square-root or logit transform would apply to component proportions themselves, not directly to RMSE or norm-based errors. The arcsine transform can reduce binomial mean-variance coupling but is less interpretable and performs poorly at exact boundaries without special handling. Logit or multinomial-logit coordinates preserve more natural odds interpretations but require adjustment for zeros and ones. For compositional vectors, additive, centered, or isometric log-ratio coordinates are usually preferable because they respect the simplex geometry, although zero replacement must be justified.</w:t>
      </w:r>
    </w:p>
    <w:p>
      <w:pPr>
        <w:pStyle w:val="Heading2"/>
      </w:pPr>
      <w:r>
        <w:t>Recommended diagnostics</w:t>
      </w:r>
    </w:p>
    <w:p>
      <w:pPr>
        <w:pStyle w:val="ListBullet"/>
        <w:spacing w:after="60"/>
      </w:pPr>
      <w:r>
        <w:t>Inspect residual-versus-fitted and scale-location plots separately by method, sigma, G, sample size, and design block.</w:t>
      </w:r>
    </w:p>
    <w:p>
      <w:pPr>
        <w:pStyle w:val="ListBullet"/>
        <w:spacing w:after="60"/>
      </w:pPr>
      <w:r>
        <w:t>Plot residual distributions and extreme-error frequency by distance of the true composition from simplex boundaries.</w:t>
      </w:r>
    </w:p>
    <w:p>
      <w:pPr>
        <w:pStyle w:val="ListBullet"/>
        <w:spacing w:after="60"/>
      </w:pPr>
      <w:r>
        <w:t>Compare heteroscedasticity-consistent or cluster-robust standard errors with the current ANOVA inferences; account for dependence among records generated from the same simulation scenario.</w:t>
      </w:r>
    </w:p>
    <w:p>
      <w:pPr>
        <w:pStyle w:val="ListBullet"/>
        <w:spacing w:after="60"/>
      </w:pPr>
      <w:r>
        <w:t>Fit a sensitivity model using an alternative response transformation or a gamma/lognormal mean-variance model for the positive error metrics.</w:t>
      </w:r>
    </w:p>
    <w:p>
      <w:pPr>
        <w:pStyle w:val="ListBullet"/>
        <w:spacing w:after="60"/>
      </w:pPr>
      <w:r>
        <w:t>Report response-scale predictions and uncertainty after applying the exact inverse transformation.</w:t>
      </w:r>
    </w:p>
    <w:p>
      <w:pPr>
        <w:pStyle w:val="Heading1"/>
      </w:pPr>
      <w:r>
        <w:t>6 Integrated summary of MANOVA and ANOVA results</w:t>
      </w:r>
    </w:p>
    <w:p>
      <w:r>
        <w:t>The tests collectively show that the five methods do not share the same estimation-accuracy profile. The multivariate method effect is unambiguous, and every univariate metric detects method differences. Nevertheless, method choice is not the main source of error variation. G and sigma are the dominant experimental factors for the joint profile and for RMSE, L1, and L-infinity separately. Mean sample size is consistently the third-ranked influence. Sampling-distribution block, method, and theta_true exert modest effects; theta_CV is very small; and p1 and p2 provide essentially no practical contribution after the other model terms are included.</w:t>
      </w:r>
    </w:p>
    <w:p>
      <w:r>
        <w:t>The numerical contrast between dominant and secondary effects is substantial. For example, partial eta squared for G is approximately 0.195, 0.239, and 0.164 across log RMSE, log L1, and log L-infinity, compared with 0.014, 0.016, and 0.011 for method. Sigma is almost as influential as G. Thus, improving the experimental information structure or controlling dispersion is likely to yield a greater accuracy gain than switching among most methods, although method choice remains consequential under high sigma because method-by-sigma is the largest interaction.</w:t>
      </w:r>
    </w:p>
    <w:p>
      <w:r>
        <w:t>At the reported reference condition, methods i and v are the leading pair and cannot be distinguished statistically on any metric. Method ii is consistently least accurate; iii and iv are intermediate, with iv usually favored. Directional L-infinity results indicate that i is most robust as sigma increases, v combines strong overall performance with good gains from larger samples, and ii benefits disproportionately from higher G and theta_true but is vulnerable to high sigma. These interaction patterns caution against using a single unconditional method ranking.</w:t>
      </w:r>
    </w:p>
    <w:p>
      <w:r>
        <w:t>The most defensible substantive conclusion is therefore conditional: methods i and v provide the strongest general performance in the reported comparison, but the operating environment matters more than the average method effect. Final method selection should be based on condition-specific predictions across sigma, G, and sample size, with particular attention to boundary compositions and residual heteroscedasticity.</w:t>
      </w:r>
    </w:p>
    <w:p>
      <w:pPr>
        <w:pStyle w:val="Heading2"/>
      </w:pPr>
      <w:r>
        <w:t>Limitations and next analytical step</w:t>
      </w:r>
    </w:p>
    <w:p>
      <w:pPr>
        <w:pStyle w:val="ListBullet"/>
        <w:spacing w:after="60"/>
      </w:pPr>
      <w:r>
        <w:t>The MANOVA output appears to include two dependent responses, not three; L-infinity is analyzed separately.</w:t>
      </w:r>
    </w:p>
    <w:p>
      <w:pPr>
        <w:pStyle w:val="ListBullet"/>
        <w:spacing w:after="60"/>
      </w:pPr>
      <w:r>
        <w:t>The reported tests do not contain separate bias or variance outcomes, so bias-variance tradeoffs cannot be evaluated directly.</w:t>
      </w:r>
    </w:p>
    <w:p>
      <w:pPr>
        <w:pStyle w:val="ListBullet"/>
        <w:spacing w:after="60"/>
      </w:pPr>
      <w:r>
        <w:t>The fitted output excludes the log-uniform design block even though it is present in the design script.</w:t>
      </w:r>
    </w:p>
    <w:p>
      <w:pPr>
        <w:pStyle w:val="ListBullet"/>
        <w:spacing w:after="60"/>
      </w:pPr>
      <w:r>
        <w:t>The 500,000 records are a sampled subset; the extent to which standard errors account for the sampling design and within-scenario dependence is not stated.</w:t>
      </w:r>
    </w:p>
    <w:p>
      <w:pPr>
        <w:pStyle w:val="ListBullet"/>
        <w:spacing w:after="60"/>
      </w:pPr>
      <w:r>
        <w:t>Reference-condition EMMs do not establish uniform superiority over the full factorial grid.</w:t>
      </w:r>
    </w:p>
    <w:p>
      <w:r>
        <w:t>A focused follow-up should estimate method-by-sigma, method-by-G, and method-by-mean_nsamp marginal means, back-transform them to the original error scale, and plot adjusted contrasts with simultaneous intervals. That analysis would directly identify crossovers and quantify how rapidly each method loses or gains accuracy as conditions change.</w:t>
      </w:r>
    </w:p>
    <w:p>
      <w:pPr>
        <w:pStyle w:val="Heading1"/>
      </w:pPr>
      <w:r>
        <w:t>Source materials</w:t>
      </w:r>
    </w:p>
    <w:p>
      <w:r>
        <w:t>build_design_matrix.R. Factorial design-generation script supplied for this analysis.</w:t>
      </w:r>
    </w:p>
    <w:p>
      <w:r>
        <w:t>results-code-A.txt. Code A memory-safe MANOVA, ANOVA, linear-model, and estimated-marginal-means output; run dated 26 September 2026 HST.</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left"/>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00"/>
    </w:pPr>
    <w:rPr>
      <w:rFonts w:ascii="Aptos" w:hAnsi="Aptos"/>
      <w:color w:val="000000"/>
      <w:sz w:val="23"/>
    </w:rPr>
  </w:style>
  <w:style w:type="paragraph" w:customStyle="1" w:styleId="TableNote">
    <w:name w:val="Table Note"/>
    <w:pPr>
      <w:spacing w:before="60" w:after="140"/>
    </w:pPr>
    <w:rPr>
      <w:rFonts w:ascii="Aptos" w:hAnsi="Aptos"/>
      <w:color w:val="4646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Factorial Analysis of Proportion Estimation Accuracy</dc:title>
  <dc:subject>MANOVA and factorial ANOVA analysis of five proportion estimation methods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