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Mixed Effects Analysis of Proportion Estimation Accuracy</w:t>
      </w:r>
    </w:p>
    <w:p>
      <w:pPr>
        <w:pStyle w:val="ReportSubtitle"/>
      </w:pPr>
      <w:r>
        <w:t>Multivariate linear mixed effects model Type III tests estimated marginal means and comparative performance of five methods</w:t>
      </w:r>
    </w:p>
    <w:p>
      <w:pPr>
        <w:pStyle w:val="ReportSubtitle"/>
      </w:pPr>
      <w:r>
        <w:t>Analysis of results-code-B using the same report format as summary-results-code-A</w:t>
      </w:r>
    </w:p>
    <w:p>
      <w:pPr>
        <w:pStyle w:val="Heading1"/>
      </w:pPr>
      <w:r>
        <w:t>Purpose and principal conclusion</w:t>
      </w:r>
    </w:p>
    <w:p>
      <w:r>
        <w:t>This report evaluates the relative accuracy of five proportion-estimation methods with a weighted linear mixed-effects model that jointly represents three error metrics while accounting for repeated observations within simplex environments. The main conclusion is that methods i and v form the globally best-performing group, although their ordering depends on the error metric: i is best for RMSE, v is best for L1 error, and the two are statistically indistinguishable for L-infinity error. Method ii is consistently least accurate. Among experimental conditions, G and sigma dominate, followed by mean sample size; theta_CV, p1, and p2 contribute the least. The strong method-by-sigma and method-by-metric interactions show that both operating conditions and the definition of error matter when selecting a method.</w:t>
      </w:r>
    </w:p>
    <w:p>
      <w:pPr>
        <w:pStyle w:val="Heading2"/>
      </w:pPr>
      <w:r>
        <w:t>Executive findings</w:t>
      </w:r>
    </w:p>
    <w:p>
      <w:pPr>
        <w:pStyle w:val="ListBullet"/>
        <w:spacing w:after="60"/>
      </w:pPr>
      <w:r>
        <w:t>Method, metric, and method-by-metric are all highly significant under Type III Satterthwaite tests (all p &lt; 2.2e-16), so methods differ overall and their relative differences change across RMSE, L1, and L-infinity.</w:t>
      </w:r>
    </w:p>
    <w:p>
      <w:pPr>
        <w:pStyle w:val="ListBullet"/>
        <w:spacing w:after="60"/>
      </w:pPr>
      <w:r>
        <w:t>Metric is the numerically dominant fixed effect (F = 770,050), reflecting the different numerical scales and definitions of the three error summaries; it should not be interpreted as an experimental treatment effect.</w:t>
      </w:r>
    </w:p>
    <w:p>
      <w:pPr>
        <w:pStyle w:val="ListBullet"/>
        <w:spacing w:after="60"/>
      </w:pPr>
      <w:r>
        <w:t>Among experimental factors, G (F = 17,405) and sigma (F = 16,297) dominate, followed by mean sample size (F = 2,761), design block (F = 1,090), and theta_true (F = 737).</w:t>
      </w:r>
    </w:p>
    <w:p>
      <w:pPr>
        <w:pStyle w:val="ListBullet"/>
        <w:spacing w:after="60"/>
      </w:pPr>
      <w:r>
        <w:t>Averaged equally over metrics, methods i and v are statistically tied (Holm p = 0.1016); both outperform iii, iv, and ii. Method ii has the highest estimated error.</w:t>
      </w:r>
    </w:p>
    <w:p>
      <w:pPr>
        <w:pStyle w:val="ListBullet"/>
        <w:spacing w:after="60"/>
      </w:pPr>
      <w:r>
        <w:t>The simplex random intercept accounts for about 7.0% of conditional variance. This supports nontrivial clustering, but the model does not include random method slopes and therefore does not directly establish invariant method rankings among simplex environments.</w:t>
      </w:r>
    </w:p>
    <w:p>
      <w:pPr>
        <w:pStyle w:val="Heading1"/>
      </w:pPr>
      <w:r>
        <w:t>Analytical basis and scope</w:t>
      </w:r>
    </w:p>
    <w:p>
      <w:r>
        <w:t>The analysis began with 164,189,025 represented observations reduced to 32,837,805 simplex-method-metric cells across 2,189,187 simplex identifiers. A memory safeguard selected a reproducible random sample of 20,000 complete simplex groups using seed 11307. The fitted data contain 300,000 aggregated cells representing 1,500,000 original observations. Each cell mean of log1p accuracy was weighted by its original observation count.</w:t>
      </w:r>
    </w:p>
    <w:p>
      <w:r>
        <w:t>The model was fitted by restricted maximum likelihood with Satterthwaite degrees of freedom for fixed-effect tests:</w:t>
      </w:r>
    </w:p>
    <w:p>
      <w:r>
        <w:t>log_accuracy = method x metric + method x design_block + method x G + method x theta_true + method x theta_CV + method x sigma + method x mean_nsamp + method x p1 + method x p2 + simplex random intercept</w:t>
      </w:r>
    </w:p>
    <w:p>
      <w:r>
        <w:t>The reported analysis is a long-format mixed model with metric entered as a categorical fixed effect. It jointly compares the three accuracy definitions and models simplex-level correlation through a shared random intercept, but it is not a fully multivariate mixed model with an unrestricted residual covariance matrix among RMSE, L1, and L-infinity. This distinction matters when interpreting the term multivariate.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088"/>
            <w:shd w:fill="1F4E78"/>
            <w:tcMar>
              <w:top w:w="80" w:type="dxa"/>
              <w:start w:w="90" w:type="dxa"/>
              <w:bottom w:w="80" w:type="dxa"/>
              <w:end w:w="90" w:type="dxa"/>
            </w:tcMar>
            <w:vAlign w:val="center"/>
          </w:tcPr>
          <w:p>
            <w:pPr>
              <w:jc w:val="center"/>
            </w:pPr>
            <w:r>
              <w:rPr>
                <w:rFonts w:ascii="Aptos" w:hAnsi="Aptos"/>
                <w:b/>
                <w:color w:val="FFFFFF"/>
                <w:sz w:val="16"/>
              </w:rPr>
              <w:t>Model component</w:t>
            </w:r>
          </w:p>
        </w:tc>
        <w:tc>
          <w:tcPr>
            <w:tcW w:type="dxa" w:w="4032"/>
            <w:shd w:fill="1F4E78"/>
            <w:tcMar>
              <w:top w:w="80" w:type="dxa"/>
              <w:start w:w="90" w:type="dxa"/>
              <w:bottom w:w="80" w:type="dxa"/>
              <w:end w:w="90" w:type="dxa"/>
            </w:tcMar>
            <w:vAlign w:val="center"/>
          </w:tcPr>
          <w:p>
            <w:pPr>
              <w:jc w:val="center"/>
            </w:pPr>
            <w:r>
              <w:rPr>
                <w:rFonts w:ascii="Aptos" w:hAnsi="Aptos"/>
                <w:b/>
                <w:color w:val="FFFFFF"/>
                <w:sz w:val="16"/>
              </w:rPr>
              <w:t>Specification</w:t>
            </w:r>
          </w:p>
        </w:tc>
        <w:tc>
          <w:tcPr>
            <w:tcW w:type="dxa" w:w="3456"/>
            <w:shd w:fill="1F4E78"/>
            <w:tcMar>
              <w:top w:w="80" w:type="dxa"/>
              <w:start w:w="90" w:type="dxa"/>
              <w:bottom w:w="80" w:type="dxa"/>
              <w:end w:w="90" w:type="dxa"/>
            </w:tcMar>
            <w:vAlign w:val="center"/>
          </w:tcPr>
          <w:p>
            <w:pPr>
              <w:jc w:val="center"/>
            </w:pPr>
            <w:r>
              <w:rPr>
                <w:rFonts w:ascii="Aptos" w:hAnsi="Aptos"/>
                <w:b/>
                <w:color w:val="FFFFFF"/>
                <w:sz w:val="16"/>
              </w:rPr>
              <w:t>Interpretive role</w:t>
            </w:r>
          </w:p>
        </w:tc>
      </w:tr>
      <w:tr>
        <w:trPr>
          <w:cantSplit w:val="true"/>
        </w:trPr>
        <w:tc>
          <w:tcPr>
            <w:tcW w:type="dxa" w:w="2088"/>
            <w:tcMar>
              <w:top w:w="80" w:type="dxa"/>
              <w:start w:w="90" w:type="dxa"/>
              <w:bottom w:w="80" w:type="dxa"/>
              <w:end w:w="90" w:type="dxa"/>
            </w:tcMar>
            <w:vAlign w:val="center"/>
          </w:tcPr>
          <w:p>
            <w:pPr>
              <w:keepLines/>
              <w:spacing w:after="0" w:line="240" w:lineRule="auto"/>
              <w:jc w:val="left"/>
            </w:pPr>
            <w:r>
              <w:rPr>
                <w:rFonts w:ascii="Aptos" w:hAnsi="Aptos"/>
                <w:sz w:val="16"/>
              </w:rPr>
              <w:t>Response</w:t>
            </w:r>
          </w:p>
        </w:tc>
        <w:tc>
          <w:tcPr>
            <w:tcW w:type="dxa" w:w="4032"/>
            <w:tcMar>
              <w:top w:w="80" w:type="dxa"/>
              <w:start w:w="90" w:type="dxa"/>
              <w:bottom w:w="80" w:type="dxa"/>
              <w:end w:w="90" w:type="dxa"/>
            </w:tcMar>
            <w:vAlign w:val="center"/>
          </w:tcPr>
          <w:p>
            <w:pPr>
              <w:keepLines/>
              <w:spacing w:after="0" w:line="240" w:lineRule="auto"/>
              <w:jc w:val="left"/>
            </w:pPr>
            <w:r>
              <w:rPr>
                <w:rFonts w:ascii="Aptos" w:hAnsi="Aptos"/>
                <w:sz w:val="16"/>
              </w:rPr>
              <w:t>Cell mean of log1p accuracy</w:t>
            </w:r>
          </w:p>
        </w:tc>
        <w:tc>
          <w:tcPr>
            <w:tcW w:type="dxa" w:w="3456"/>
            <w:tcMar>
              <w:top w:w="80" w:type="dxa"/>
              <w:start w:w="90" w:type="dxa"/>
              <w:bottom w:w="80" w:type="dxa"/>
              <w:end w:w="90" w:type="dxa"/>
            </w:tcMar>
            <w:vAlign w:val="center"/>
          </w:tcPr>
          <w:p>
            <w:pPr>
              <w:keepLines/>
              <w:spacing w:after="0" w:line="240" w:lineRule="auto"/>
              <w:jc w:val="left"/>
            </w:pPr>
            <w:r>
              <w:rPr>
                <w:rFonts w:ascii="Aptos" w:hAnsi="Aptos"/>
                <w:sz w:val="16"/>
              </w:rPr>
              <w:t>Lower values indicate better accuracy</w:t>
            </w:r>
          </w:p>
        </w:tc>
      </w:tr>
      <w:tr>
        <w:trPr>
          <w:cantSplit w:val="true"/>
        </w:trPr>
        <w:tc>
          <w:tcPr>
            <w:tcW w:type="dxa" w:w="2088"/>
            <w:shd w:fill="F2F6FA"/>
            <w:tcMar>
              <w:top w:w="80" w:type="dxa"/>
              <w:start w:w="90" w:type="dxa"/>
              <w:bottom w:w="80" w:type="dxa"/>
              <w:end w:w="90" w:type="dxa"/>
            </w:tcMar>
            <w:vAlign w:val="center"/>
          </w:tcPr>
          <w:p>
            <w:pPr>
              <w:keepLines/>
              <w:spacing w:after="0" w:line="240" w:lineRule="auto"/>
              <w:jc w:val="left"/>
            </w:pPr>
            <w:r>
              <w:rPr>
                <w:rFonts w:ascii="Aptos" w:hAnsi="Aptos"/>
                <w:sz w:val="16"/>
              </w:rPr>
              <w:t>Metrics</w:t>
            </w:r>
          </w:p>
        </w:tc>
        <w:tc>
          <w:tcPr>
            <w:tcW w:type="dxa" w:w="4032"/>
            <w:shd w:fill="F2F6FA"/>
            <w:tcMar>
              <w:top w:w="80" w:type="dxa"/>
              <w:start w:w="90" w:type="dxa"/>
              <w:bottom w:w="80" w:type="dxa"/>
              <w:end w:w="90" w:type="dxa"/>
            </w:tcMar>
            <w:vAlign w:val="center"/>
          </w:tcPr>
          <w:p>
            <w:pPr>
              <w:keepLines/>
              <w:spacing w:after="0" w:line="240" w:lineRule="auto"/>
              <w:jc w:val="left"/>
            </w:pPr>
            <w:r>
              <w:rPr>
                <w:rFonts w:ascii="Aptos" w:hAnsi="Aptos"/>
                <w:sz w:val="16"/>
              </w:rPr>
              <w:t>RMSE, L1 norm, L-infinity norm</w:t>
            </w:r>
          </w:p>
        </w:tc>
        <w:tc>
          <w:tcPr>
            <w:tcW w:type="dxa" w:w="3456"/>
            <w:shd w:fill="F2F6FA"/>
            <w:tcMar>
              <w:top w:w="80" w:type="dxa"/>
              <w:start w:w="90" w:type="dxa"/>
              <w:bottom w:w="80" w:type="dxa"/>
              <w:end w:w="90" w:type="dxa"/>
            </w:tcMar>
            <w:vAlign w:val="center"/>
          </w:tcPr>
          <w:p>
            <w:pPr>
              <w:keepLines/>
              <w:spacing w:after="0" w:line="240" w:lineRule="auto"/>
              <w:jc w:val="left"/>
            </w:pPr>
            <w:r>
              <w:rPr>
                <w:rFonts w:ascii="Aptos" w:hAnsi="Aptos"/>
                <w:sz w:val="16"/>
              </w:rPr>
              <w:t>Three definitions of estimation error</w:t>
            </w:r>
          </w:p>
        </w:tc>
      </w:tr>
      <w:tr>
        <w:trPr>
          <w:cantSplit w:val="true"/>
        </w:trPr>
        <w:tc>
          <w:tcPr>
            <w:tcW w:type="dxa" w:w="2088"/>
            <w:tcMar>
              <w:top w:w="80" w:type="dxa"/>
              <w:start w:w="90" w:type="dxa"/>
              <w:bottom w:w="80" w:type="dxa"/>
              <w:end w:w="90" w:type="dxa"/>
            </w:tcMar>
            <w:vAlign w:val="center"/>
          </w:tcPr>
          <w:p>
            <w:pPr>
              <w:keepLines/>
              <w:spacing w:after="0" w:line="240" w:lineRule="auto"/>
              <w:jc w:val="left"/>
            </w:pPr>
            <w:r>
              <w:rPr>
                <w:rFonts w:ascii="Aptos" w:hAnsi="Aptos"/>
                <w:sz w:val="16"/>
              </w:rPr>
              <w:t>Fixed effects</w:t>
            </w:r>
          </w:p>
        </w:tc>
        <w:tc>
          <w:tcPr>
            <w:tcW w:type="dxa" w:w="4032"/>
            <w:tcMar>
              <w:top w:w="80" w:type="dxa"/>
              <w:start w:w="90" w:type="dxa"/>
              <w:bottom w:w="80" w:type="dxa"/>
              <w:end w:w="90" w:type="dxa"/>
            </w:tcMar>
            <w:vAlign w:val="center"/>
          </w:tcPr>
          <w:p>
            <w:pPr>
              <w:keepLines/>
              <w:spacing w:after="0" w:line="240" w:lineRule="auto"/>
              <w:jc w:val="left"/>
            </w:pPr>
            <w:r>
              <w:rPr>
                <w:rFonts w:ascii="Aptos" w:hAnsi="Aptos"/>
                <w:sz w:val="16"/>
              </w:rPr>
              <w:t>Method, metric, design factors, p1, p2</w:t>
            </w:r>
          </w:p>
        </w:tc>
        <w:tc>
          <w:tcPr>
            <w:tcW w:type="dxa" w:w="3456"/>
            <w:tcMar>
              <w:top w:w="80" w:type="dxa"/>
              <w:start w:w="90" w:type="dxa"/>
              <w:bottom w:w="80" w:type="dxa"/>
              <w:end w:w="90" w:type="dxa"/>
            </w:tcMar>
            <w:vAlign w:val="center"/>
          </w:tcPr>
          <w:p>
            <w:pPr>
              <w:keepLines/>
              <w:spacing w:after="0" w:line="240" w:lineRule="auto"/>
              <w:jc w:val="left"/>
            </w:pPr>
            <w:r>
              <w:rPr>
                <w:rFonts w:ascii="Aptos" w:hAnsi="Aptos"/>
                <w:sz w:val="16"/>
              </w:rPr>
              <w:t>Average differences and interactions</w:t>
            </w:r>
          </w:p>
        </w:tc>
      </w:tr>
      <w:tr>
        <w:trPr>
          <w:cantSplit w:val="true"/>
        </w:trPr>
        <w:tc>
          <w:tcPr>
            <w:tcW w:type="dxa" w:w="2088"/>
            <w:shd w:fill="F2F6FA"/>
            <w:tcMar>
              <w:top w:w="80" w:type="dxa"/>
              <w:start w:w="90" w:type="dxa"/>
              <w:bottom w:w="80" w:type="dxa"/>
              <w:end w:w="90" w:type="dxa"/>
            </w:tcMar>
            <w:vAlign w:val="center"/>
          </w:tcPr>
          <w:p>
            <w:pPr>
              <w:keepLines/>
              <w:spacing w:after="0" w:line="240" w:lineRule="auto"/>
              <w:jc w:val="left"/>
            </w:pPr>
            <w:r>
              <w:rPr>
                <w:rFonts w:ascii="Aptos" w:hAnsi="Aptos"/>
                <w:sz w:val="16"/>
              </w:rPr>
              <w:t>Random effect</w:t>
            </w:r>
          </w:p>
        </w:tc>
        <w:tc>
          <w:tcPr>
            <w:tcW w:type="dxa" w:w="4032"/>
            <w:shd w:fill="F2F6FA"/>
            <w:tcMar>
              <w:top w:w="80" w:type="dxa"/>
              <w:start w:w="90" w:type="dxa"/>
              <w:bottom w:w="80" w:type="dxa"/>
              <w:end w:w="90" w:type="dxa"/>
            </w:tcMar>
            <w:vAlign w:val="center"/>
          </w:tcPr>
          <w:p>
            <w:pPr>
              <w:keepLines/>
              <w:spacing w:after="0" w:line="240" w:lineRule="auto"/>
              <w:jc w:val="left"/>
            </w:pPr>
            <w:r>
              <w:rPr>
                <w:rFonts w:ascii="Aptos" w:hAnsi="Aptos"/>
                <w:sz w:val="16"/>
              </w:rPr>
              <w:t>Intercept for simplex_id</w:t>
            </w:r>
          </w:p>
        </w:tc>
        <w:tc>
          <w:tcPr>
            <w:tcW w:type="dxa" w:w="3456"/>
            <w:shd w:fill="F2F6FA"/>
            <w:tcMar>
              <w:top w:w="80" w:type="dxa"/>
              <w:start w:w="90" w:type="dxa"/>
              <w:bottom w:w="80" w:type="dxa"/>
              <w:end w:w="90" w:type="dxa"/>
            </w:tcMar>
            <w:vAlign w:val="center"/>
          </w:tcPr>
          <w:p>
            <w:pPr>
              <w:keepLines/>
              <w:spacing w:after="0" w:line="240" w:lineRule="auto"/>
              <w:jc w:val="left"/>
            </w:pPr>
            <w:r>
              <w:rPr>
                <w:rFonts w:ascii="Aptos" w:hAnsi="Aptos"/>
                <w:sz w:val="16"/>
              </w:rPr>
              <w:t>Shared shift for each simplex environment</w:t>
            </w:r>
          </w:p>
        </w:tc>
      </w:tr>
      <w:tr>
        <w:trPr>
          <w:cantSplit w:val="true"/>
        </w:trPr>
        <w:tc>
          <w:tcPr>
            <w:tcW w:type="dxa" w:w="2088"/>
            <w:tcMar>
              <w:top w:w="80" w:type="dxa"/>
              <w:start w:w="90" w:type="dxa"/>
              <w:bottom w:w="80" w:type="dxa"/>
              <w:end w:w="90" w:type="dxa"/>
            </w:tcMar>
            <w:vAlign w:val="center"/>
          </w:tcPr>
          <w:p>
            <w:pPr>
              <w:keepLines/>
              <w:spacing w:after="0" w:line="240" w:lineRule="auto"/>
              <w:jc w:val="left"/>
            </w:pPr>
            <w:r>
              <w:rPr>
                <w:rFonts w:ascii="Aptos" w:hAnsi="Aptos"/>
                <w:sz w:val="16"/>
              </w:rPr>
              <w:t>Weights</w:t>
            </w:r>
          </w:p>
        </w:tc>
        <w:tc>
          <w:tcPr>
            <w:tcW w:type="dxa" w:w="4032"/>
            <w:tcMar>
              <w:top w:w="80" w:type="dxa"/>
              <w:start w:w="90" w:type="dxa"/>
              <w:bottom w:w="80" w:type="dxa"/>
              <w:end w:w="90" w:type="dxa"/>
            </w:tcMar>
            <w:vAlign w:val="center"/>
          </w:tcPr>
          <w:p>
            <w:pPr>
              <w:keepLines/>
              <w:spacing w:after="0" w:line="240" w:lineRule="auto"/>
              <w:jc w:val="left"/>
            </w:pPr>
            <w:r>
              <w:rPr>
                <w:rFonts w:ascii="Aptos" w:hAnsi="Aptos"/>
                <w:sz w:val="16"/>
              </w:rPr>
              <w:t>Original observations per cell</w:t>
            </w:r>
          </w:p>
        </w:tc>
        <w:tc>
          <w:tcPr>
            <w:tcW w:type="dxa" w:w="3456"/>
            <w:tcMar>
              <w:top w:w="80" w:type="dxa"/>
              <w:start w:w="90" w:type="dxa"/>
              <w:bottom w:w="80" w:type="dxa"/>
              <w:end w:w="90" w:type="dxa"/>
            </w:tcMar>
            <w:vAlign w:val="center"/>
          </w:tcPr>
          <w:p>
            <w:pPr>
              <w:keepLines/>
              <w:spacing w:after="0" w:line="240" w:lineRule="auto"/>
              <w:jc w:val="left"/>
            </w:pPr>
            <w:r>
              <w:rPr>
                <w:rFonts w:ascii="Aptos" w:hAnsi="Aptos"/>
                <w:sz w:val="16"/>
              </w:rPr>
              <w:t>More highly represented cells receive more weight</w:t>
            </w:r>
          </w:p>
        </w:tc>
      </w:tr>
      <w:tr>
        <w:trPr>
          <w:cantSplit w:val="true"/>
        </w:trPr>
        <w:tc>
          <w:tcPr>
            <w:tcW w:type="dxa" w:w="2088"/>
            <w:shd w:fill="F2F6FA"/>
            <w:tcMar>
              <w:top w:w="80" w:type="dxa"/>
              <w:start w:w="90" w:type="dxa"/>
              <w:bottom w:w="80" w:type="dxa"/>
              <w:end w:w="90" w:type="dxa"/>
            </w:tcMar>
            <w:vAlign w:val="center"/>
          </w:tcPr>
          <w:p>
            <w:pPr>
              <w:keepLines/>
              <w:spacing w:after="0" w:line="240" w:lineRule="auto"/>
              <w:jc w:val="left"/>
            </w:pPr>
            <w:r>
              <w:rPr>
                <w:rFonts w:ascii="Aptos" w:hAnsi="Aptos"/>
                <w:sz w:val="16"/>
              </w:rPr>
              <w:t>Fitted sample</w:t>
            </w:r>
          </w:p>
        </w:tc>
        <w:tc>
          <w:tcPr>
            <w:tcW w:type="dxa" w:w="4032"/>
            <w:shd w:fill="F2F6FA"/>
            <w:tcMar>
              <w:top w:w="80" w:type="dxa"/>
              <w:start w:w="90" w:type="dxa"/>
              <w:bottom w:w="80" w:type="dxa"/>
              <w:end w:w="90" w:type="dxa"/>
            </w:tcMar>
            <w:vAlign w:val="center"/>
          </w:tcPr>
          <w:p>
            <w:pPr>
              <w:keepLines/>
              <w:spacing w:after="0" w:line="240" w:lineRule="auto"/>
              <w:jc w:val="left"/>
            </w:pPr>
            <w:r>
              <w:rPr>
                <w:rFonts w:ascii="Aptos" w:hAnsi="Aptos"/>
                <w:sz w:val="16"/>
              </w:rPr>
              <w:t>20,000 simplex groups; 300,000 cells</w:t>
            </w:r>
          </w:p>
        </w:tc>
        <w:tc>
          <w:tcPr>
            <w:tcW w:type="dxa" w:w="3456"/>
            <w:shd w:fill="F2F6FA"/>
            <w:tcMar>
              <w:top w:w="80" w:type="dxa"/>
              <w:start w:w="90" w:type="dxa"/>
              <w:bottom w:w="80" w:type="dxa"/>
              <w:end w:w="90" w:type="dxa"/>
            </w:tcMar>
            <w:vAlign w:val="center"/>
          </w:tcPr>
          <w:p>
            <w:pPr>
              <w:keepLines/>
              <w:spacing w:after="0" w:line="240" w:lineRule="auto"/>
              <w:jc w:val="left"/>
            </w:pPr>
            <w:r>
              <w:rPr>
                <w:rFonts w:ascii="Aptos" w:hAnsi="Aptos"/>
                <w:sz w:val="16"/>
              </w:rPr>
              <w:t>Reproducible complete-group subsample</w:t>
            </w:r>
          </w:p>
        </w:tc>
      </w:tr>
    </w:tbl>
    <w:p>
      <w:pPr>
        <w:spacing w:after="20"/>
      </w:pPr>
    </w:p>
    <w:p>
      <w:pPr>
        <w:pStyle w:val="Heading1"/>
      </w:pPr>
      <w:r>
        <w:t>1 Model interpretation and significance</w:t>
      </w:r>
    </w:p>
    <w:p>
      <w:r>
        <w:t>The Type III ANOVA provides joint tests of each fixed effect after accounting for all other terms in the model. Method is highly significant, F(4, 279930) = 429.13, p &lt; 2.2e-16, showing that average log-transformed accuracy differs among the five estimators. Metric is overwhelmingly significant, F(2, 279930) = 770,050, p &lt; 2.2e-16, because RMSE, L1, and L-infinity summarize error differently and occupy different numerical ranges even after log1p transformation.</w:t>
      </w:r>
    </w:p>
    <w:p>
      <w:r>
        <w:t>The method-by-metric interaction is also highly significant, F(8, 279930) = 418.29, p &lt; 2.2e-16. This interaction rejects a common method separation across metrics: the size and, for methods i and v, the ordering of method differences change with the error definition. Consequently, the overall method EMMs are useful as a compact summary but cannot replace metric-specific comparisons.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cantSplit w:val="true"/>
        </w:trPr>
        <w:tc>
          <w:tcPr>
            <w:tcW w:type="dxa" w:w="1944"/>
            <w:shd w:fill="1F4E78"/>
            <w:tcMar>
              <w:top w:w="80" w:type="dxa"/>
              <w:start w:w="90" w:type="dxa"/>
              <w:bottom w:w="80" w:type="dxa"/>
              <w:end w:w="90" w:type="dxa"/>
            </w:tcMar>
            <w:vAlign w:val="center"/>
          </w:tcPr>
          <w:p>
            <w:pPr>
              <w:jc w:val="center"/>
            </w:pPr>
            <w:r>
              <w:rPr>
                <w:rFonts w:ascii="Aptos" w:hAnsi="Aptos"/>
                <w:b/>
                <w:color w:val="FFFFFF"/>
                <w:sz w:val="16"/>
              </w:rPr>
              <w:t>Fixed effect</w:t>
            </w:r>
          </w:p>
        </w:tc>
        <w:tc>
          <w:tcPr>
            <w:tcW w:type="dxa" w:w="1008"/>
            <w:shd w:fill="1F4E78"/>
            <w:tcMar>
              <w:top w:w="80" w:type="dxa"/>
              <w:start w:w="90" w:type="dxa"/>
              <w:bottom w:w="80" w:type="dxa"/>
              <w:end w:w="90" w:type="dxa"/>
            </w:tcMar>
            <w:vAlign w:val="center"/>
          </w:tcPr>
          <w:p>
            <w:pPr>
              <w:jc w:val="center"/>
            </w:pPr>
            <w:r>
              <w:rPr>
                <w:rFonts w:ascii="Aptos" w:hAnsi="Aptos"/>
                <w:b/>
                <w:color w:val="FFFFFF"/>
                <w:sz w:val="16"/>
              </w:rPr>
              <w:t>Num df</w:t>
            </w:r>
          </w:p>
        </w:tc>
        <w:tc>
          <w:tcPr>
            <w:tcW w:type="dxa" w:w="1440"/>
            <w:shd w:fill="1F4E78"/>
            <w:tcMar>
              <w:top w:w="80" w:type="dxa"/>
              <w:start w:w="90" w:type="dxa"/>
              <w:bottom w:w="80" w:type="dxa"/>
              <w:end w:w="90" w:type="dxa"/>
            </w:tcMar>
            <w:vAlign w:val="center"/>
          </w:tcPr>
          <w:p>
            <w:pPr>
              <w:jc w:val="center"/>
            </w:pPr>
            <w:r>
              <w:rPr>
                <w:rFonts w:ascii="Aptos" w:hAnsi="Aptos"/>
                <w:b/>
                <w:color w:val="FFFFFF"/>
                <w:sz w:val="16"/>
              </w:rPr>
              <w:t>Den df</w:t>
            </w:r>
          </w:p>
        </w:tc>
        <w:tc>
          <w:tcPr>
            <w:tcW w:type="dxa" w:w="1512"/>
            <w:shd w:fill="1F4E78"/>
            <w:tcMar>
              <w:top w:w="80" w:type="dxa"/>
              <w:start w:w="90" w:type="dxa"/>
              <w:bottom w:w="80" w:type="dxa"/>
              <w:end w:w="90" w:type="dxa"/>
            </w:tcMar>
            <w:vAlign w:val="center"/>
          </w:tcPr>
          <w:p>
            <w:pPr>
              <w:jc w:val="center"/>
            </w:pPr>
            <w:r>
              <w:rPr>
                <w:rFonts w:ascii="Aptos" w:hAnsi="Aptos"/>
                <w:b/>
                <w:color w:val="FFFFFF"/>
                <w:sz w:val="16"/>
              </w:rPr>
              <w:t>F statistic</w:t>
            </w:r>
          </w:p>
        </w:tc>
        <w:tc>
          <w:tcPr>
            <w:tcW w:type="dxa" w:w="1656"/>
            <w:shd w:fill="1F4E78"/>
            <w:tcMar>
              <w:top w:w="80" w:type="dxa"/>
              <w:start w:w="90" w:type="dxa"/>
              <w:bottom w:w="80" w:type="dxa"/>
              <w:end w:w="90" w:type="dxa"/>
            </w:tcMar>
            <w:vAlign w:val="center"/>
          </w:tcPr>
          <w:p>
            <w:pPr>
              <w:jc w:val="center"/>
            </w:pPr>
            <w:r>
              <w:rPr>
                <w:rFonts w:ascii="Aptos" w:hAnsi="Aptos"/>
                <w:b/>
                <w:color w:val="FFFFFF"/>
                <w:sz w:val="16"/>
              </w:rPr>
              <w:t>p value</w:t>
            </w:r>
          </w:p>
        </w:tc>
        <w:tc>
          <w:tcPr>
            <w:tcW w:type="dxa" w:w="2880"/>
            <w:shd w:fill="1F4E78"/>
            <w:tcMar>
              <w:top w:w="80" w:type="dxa"/>
              <w:start w:w="90" w:type="dxa"/>
              <w:bottom w:w="80" w:type="dxa"/>
              <w:end w:w="90" w:type="dxa"/>
            </w:tcMar>
            <w:vAlign w:val="center"/>
          </w:tcPr>
          <w:p>
            <w:pPr>
              <w:jc w:val="center"/>
            </w:pPr>
            <w:r>
              <w:rPr>
                <w:rFonts w:ascii="Aptos" w:hAnsi="Aptos"/>
                <w:b/>
                <w:color w:val="FFFFFF"/>
                <w:sz w:val="16"/>
              </w:rPr>
              <w:t>Interpretation</w:t>
            </w:r>
          </w:p>
        </w:tc>
      </w:tr>
      <w:tr>
        <w:trPr>
          <w:cantSplit w:val="true"/>
        </w:trPr>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metric</w:t>
            </w:r>
          </w:p>
        </w:tc>
        <w:tc>
          <w:tcPr>
            <w:tcW w:type="dxa" w:w="1008"/>
            <w:tcMar>
              <w:top w:w="80" w:type="dxa"/>
              <w:start w:w="90" w:type="dxa"/>
              <w:bottom w:w="80" w:type="dxa"/>
              <w:end w:w="90" w:type="dxa"/>
            </w:tcMar>
            <w:vAlign w:val="center"/>
          </w:tcPr>
          <w:p>
            <w:pPr>
              <w:keepLines/>
              <w:spacing w:after="0" w:line="240" w:lineRule="auto"/>
              <w:jc w:val="center"/>
            </w:pPr>
            <w:r>
              <w:rPr>
                <w:rFonts w:ascii="Aptos" w:hAnsi="Aptos"/>
                <w:sz w:val="16"/>
              </w:rPr>
              <w:t>2</w:t>
            </w:r>
          </w:p>
        </w:tc>
        <w:tc>
          <w:tcPr>
            <w:tcW w:type="dxa" w:w="1440"/>
            <w:tcMar>
              <w:top w:w="80" w:type="dxa"/>
              <w:start w:w="90" w:type="dxa"/>
              <w:bottom w:w="80" w:type="dxa"/>
              <w:end w:w="90" w:type="dxa"/>
            </w:tcMar>
            <w:vAlign w:val="center"/>
          </w:tcPr>
          <w:p>
            <w:pPr>
              <w:keepLines/>
              <w:spacing w:after="0" w:line="240" w:lineRule="auto"/>
              <w:jc w:val="center"/>
            </w:pPr>
            <w:r>
              <w:rPr>
                <w:rFonts w:ascii="Aptos" w:hAnsi="Aptos"/>
                <w:sz w:val="16"/>
              </w:rPr>
              <w:t>279,930</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770,050</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2880"/>
            <w:tcMar>
              <w:top w:w="80" w:type="dxa"/>
              <w:start w:w="90" w:type="dxa"/>
              <w:bottom w:w="80" w:type="dxa"/>
              <w:end w:w="90" w:type="dxa"/>
            </w:tcMar>
            <w:vAlign w:val="center"/>
          </w:tcPr>
          <w:p>
            <w:pPr>
              <w:keepLines/>
              <w:spacing w:after="0" w:line="240" w:lineRule="auto"/>
              <w:jc w:val="center"/>
            </w:pPr>
            <w:r>
              <w:rPr>
                <w:rFonts w:ascii="Aptos" w:hAnsi="Aptos"/>
                <w:sz w:val="16"/>
              </w:rPr>
              <w:t>Largest numerical fixed effect</w:t>
            </w:r>
          </w:p>
        </w:tc>
      </w:tr>
      <w:tr>
        <w:trPr>
          <w:cantSplit w:val="true"/>
        </w:trPr>
        <w:tc>
          <w:tcPr>
            <w:tcW w:type="dxa" w:w="1944"/>
            <w:shd w:fill="F2F6FA"/>
            <w:tcMar>
              <w:top w:w="80" w:type="dxa"/>
              <w:start w:w="90" w:type="dxa"/>
              <w:bottom w:w="80" w:type="dxa"/>
              <w:end w:w="90" w:type="dxa"/>
            </w:tcMar>
            <w:vAlign w:val="center"/>
          </w:tcPr>
          <w:p>
            <w:pPr>
              <w:keepLines/>
              <w:spacing w:after="0" w:line="240" w:lineRule="auto"/>
              <w:jc w:val="left"/>
            </w:pPr>
            <w:r>
              <w:rPr>
                <w:rFonts w:ascii="Aptos" w:hAnsi="Aptos"/>
                <w:sz w:val="16"/>
              </w:rPr>
              <w:t>method</w:t>
            </w:r>
          </w:p>
        </w:tc>
        <w:tc>
          <w:tcPr>
            <w:tcW w:type="dxa" w:w="1008"/>
            <w:shd w:fill="F2F6FA"/>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440"/>
            <w:shd w:fill="F2F6FA"/>
            <w:tcMar>
              <w:top w:w="80" w:type="dxa"/>
              <w:start w:w="90" w:type="dxa"/>
              <w:bottom w:w="80" w:type="dxa"/>
              <w:end w:w="90" w:type="dxa"/>
            </w:tcMar>
            <w:vAlign w:val="center"/>
          </w:tcPr>
          <w:p>
            <w:pPr>
              <w:keepLines/>
              <w:spacing w:after="0" w:line="240" w:lineRule="auto"/>
              <w:jc w:val="center"/>
            </w:pPr>
            <w:r>
              <w:rPr>
                <w:rFonts w:ascii="Aptos" w:hAnsi="Aptos"/>
                <w:sz w:val="16"/>
              </w:rPr>
              <w:t>279,930</w:t>
            </w:r>
          </w:p>
        </w:tc>
        <w:tc>
          <w:tcPr>
            <w:tcW w:type="dxa" w:w="1512"/>
            <w:shd w:fill="F2F6FA"/>
            <w:tcMar>
              <w:top w:w="80" w:type="dxa"/>
              <w:start w:w="90" w:type="dxa"/>
              <w:bottom w:w="80" w:type="dxa"/>
              <w:end w:w="90" w:type="dxa"/>
            </w:tcMar>
            <w:vAlign w:val="center"/>
          </w:tcPr>
          <w:p>
            <w:pPr>
              <w:keepLines/>
              <w:spacing w:after="0" w:line="240" w:lineRule="auto"/>
              <w:jc w:val="center"/>
            </w:pPr>
            <w:r>
              <w:rPr>
                <w:rFonts w:ascii="Aptos" w:hAnsi="Aptos"/>
                <w:sz w:val="16"/>
              </w:rPr>
              <w:t>429.13</w:t>
            </w:r>
          </w:p>
        </w:tc>
        <w:tc>
          <w:tcPr>
            <w:tcW w:type="dxa" w:w="1656"/>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2880"/>
            <w:shd w:fill="F2F6FA"/>
            <w:tcMar>
              <w:top w:w="80" w:type="dxa"/>
              <w:start w:w="90" w:type="dxa"/>
              <w:bottom w:w="80" w:type="dxa"/>
              <w:end w:w="90" w:type="dxa"/>
            </w:tcMar>
            <w:vAlign w:val="center"/>
          </w:tcPr>
          <w:p>
            <w:pPr>
              <w:keepLines/>
              <w:spacing w:after="0" w:line="240" w:lineRule="auto"/>
              <w:jc w:val="center"/>
            </w:pPr>
            <w:r>
              <w:rPr>
                <w:rFonts w:ascii="Aptos" w:hAnsi="Aptos"/>
                <w:sz w:val="16"/>
              </w:rPr>
              <w:t>Methods differ overall</w:t>
            </w:r>
          </w:p>
        </w:tc>
      </w:tr>
      <w:tr>
        <w:trPr>
          <w:cantSplit w:val="true"/>
        </w:trPr>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method x metric</w:t>
            </w:r>
          </w:p>
        </w:tc>
        <w:tc>
          <w:tcPr>
            <w:tcW w:type="dxa" w:w="1008"/>
            <w:tcMar>
              <w:top w:w="80" w:type="dxa"/>
              <w:start w:w="90" w:type="dxa"/>
              <w:bottom w:w="80" w:type="dxa"/>
              <w:end w:w="90" w:type="dxa"/>
            </w:tcMar>
            <w:vAlign w:val="center"/>
          </w:tcPr>
          <w:p>
            <w:pPr>
              <w:keepLines/>
              <w:spacing w:after="0" w:line="240" w:lineRule="auto"/>
              <w:jc w:val="center"/>
            </w:pPr>
            <w:r>
              <w:rPr>
                <w:rFonts w:ascii="Aptos" w:hAnsi="Aptos"/>
                <w:sz w:val="16"/>
              </w:rPr>
              <w:t>8</w:t>
            </w:r>
          </w:p>
        </w:tc>
        <w:tc>
          <w:tcPr>
            <w:tcW w:type="dxa" w:w="1440"/>
            <w:tcMar>
              <w:top w:w="80" w:type="dxa"/>
              <w:start w:w="90" w:type="dxa"/>
              <w:bottom w:w="80" w:type="dxa"/>
              <w:end w:w="90" w:type="dxa"/>
            </w:tcMar>
            <w:vAlign w:val="center"/>
          </w:tcPr>
          <w:p>
            <w:pPr>
              <w:keepLines/>
              <w:spacing w:after="0" w:line="240" w:lineRule="auto"/>
              <w:jc w:val="center"/>
            </w:pPr>
            <w:r>
              <w:rPr>
                <w:rFonts w:ascii="Aptos" w:hAnsi="Aptos"/>
                <w:sz w:val="16"/>
              </w:rPr>
              <w:t>279,930</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418.29</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2880"/>
            <w:tcMar>
              <w:top w:w="80" w:type="dxa"/>
              <w:start w:w="90" w:type="dxa"/>
              <w:bottom w:w="80" w:type="dxa"/>
              <w:end w:w="90" w:type="dxa"/>
            </w:tcMar>
            <w:vAlign w:val="center"/>
          </w:tcPr>
          <w:p>
            <w:pPr>
              <w:keepLines/>
              <w:spacing w:after="0" w:line="240" w:lineRule="auto"/>
              <w:jc w:val="center"/>
            </w:pPr>
            <w:r>
              <w:rPr>
                <w:rFonts w:ascii="Aptos" w:hAnsi="Aptos"/>
                <w:sz w:val="16"/>
              </w:rPr>
              <w:t>Method gaps depend on metric</w:t>
            </w:r>
          </w:p>
        </w:tc>
      </w:tr>
    </w:tbl>
    <w:p>
      <w:pPr>
        <w:spacing w:after="20"/>
      </w:pPr>
    </w:p>
    <w:p>
      <w:pPr>
        <w:pStyle w:val="Heading2"/>
      </w:pPr>
      <w:r>
        <w:t>Interpretation of the interaction</w:t>
      </w:r>
    </w:p>
    <w:p>
      <w:r>
        <w:t>The interaction is substantively important rather than a purely sample-size-driven rejection. Method i has the lowest EMM for RMSE, method v has the lowest EMM for L1, and i and v are statistically tied for L-infinity. The intermediate methods also behave differently: iv is better than iii for RMSE and L-infinity, whereas their L1 means are indistinguishable. Thus, conclusions based only on one norm can overstate or understate a method advantage under another norm.</w:t>
      </w:r>
    </w:p>
    <w:p>
      <w:pPr>
        <w:pStyle w:val="Heading1"/>
      </w:pPr>
      <w:r>
        <w:t>2 Experimental factor influence</w:t>
      </w:r>
    </w:p>
    <w:p>
      <w:r>
        <w:t>Among experimental factors, G and sigma are co-dominant. Their F statistics, 17,405 and 16,297, are about six times the F statistic for mean sample size and more than fifteen times the statistic for design block. Mean sample size ranks third, followed by design block and theta_true. Theta_CV is statistically significant but weak. The composition-coordinate covariates p1 and p2 are nonsignificant after adjustment for the factorial terms.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val="true"/>
        </w:trPr>
        <w:tc>
          <w:tcPr>
            <w:tcW w:type="dxa" w:w="792"/>
            <w:shd w:fill="1F4E78"/>
            <w:tcMar>
              <w:top w:w="80" w:type="dxa"/>
              <w:start w:w="90" w:type="dxa"/>
              <w:bottom w:w="80" w:type="dxa"/>
              <w:end w:w="90" w:type="dxa"/>
            </w:tcMar>
            <w:vAlign w:val="center"/>
          </w:tcPr>
          <w:p>
            <w:pPr>
              <w:jc w:val="center"/>
            </w:pPr>
            <w:r>
              <w:rPr>
                <w:rFonts w:ascii="Aptos" w:hAnsi="Aptos"/>
                <w:b/>
                <w:color w:val="FFFFFF"/>
                <w:sz w:val="16"/>
              </w:rPr>
              <w:t>Rank</w:t>
            </w:r>
          </w:p>
        </w:tc>
        <w:tc>
          <w:tcPr>
            <w:tcW w:type="dxa" w:w="2232"/>
            <w:shd w:fill="1F4E78"/>
            <w:tcMar>
              <w:top w:w="80" w:type="dxa"/>
              <w:start w:w="90" w:type="dxa"/>
              <w:bottom w:w="80" w:type="dxa"/>
              <w:end w:w="90" w:type="dxa"/>
            </w:tcMar>
            <w:vAlign w:val="center"/>
          </w:tcPr>
          <w:p>
            <w:pPr>
              <w:jc w:val="center"/>
            </w:pPr>
            <w:r>
              <w:rPr>
                <w:rFonts w:ascii="Aptos" w:hAnsi="Aptos"/>
                <w:b/>
                <w:color w:val="FFFFFF"/>
                <w:sz w:val="16"/>
              </w:rPr>
              <w:t>Factor</w:t>
            </w:r>
          </w:p>
        </w:tc>
        <w:tc>
          <w:tcPr>
            <w:tcW w:type="dxa" w:w="1656"/>
            <w:shd w:fill="1F4E78"/>
            <w:tcMar>
              <w:top w:w="80" w:type="dxa"/>
              <w:start w:w="90" w:type="dxa"/>
              <w:bottom w:w="80" w:type="dxa"/>
              <w:end w:w="90" w:type="dxa"/>
            </w:tcMar>
            <w:vAlign w:val="center"/>
          </w:tcPr>
          <w:p>
            <w:pPr>
              <w:jc w:val="center"/>
            </w:pPr>
            <w:r>
              <w:rPr>
                <w:rFonts w:ascii="Aptos" w:hAnsi="Aptos"/>
                <w:b/>
                <w:color w:val="FFFFFF"/>
                <w:sz w:val="16"/>
              </w:rPr>
              <w:t>F statistic</w:t>
            </w:r>
          </w:p>
        </w:tc>
        <w:tc>
          <w:tcPr>
            <w:tcW w:type="dxa" w:w="1728"/>
            <w:shd w:fill="1F4E78"/>
            <w:tcMar>
              <w:top w:w="80" w:type="dxa"/>
              <w:start w:w="90" w:type="dxa"/>
              <w:bottom w:w="80" w:type="dxa"/>
              <w:end w:w="90" w:type="dxa"/>
            </w:tcMar>
            <w:vAlign w:val="center"/>
          </w:tcPr>
          <w:p>
            <w:pPr>
              <w:jc w:val="center"/>
            </w:pPr>
            <w:r>
              <w:rPr>
                <w:rFonts w:ascii="Aptos" w:hAnsi="Aptos"/>
                <w:b/>
                <w:color w:val="FFFFFF"/>
                <w:sz w:val="16"/>
              </w:rPr>
              <w:t>p value</w:t>
            </w:r>
          </w:p>
        </w:tc>
        <w:tc>
          <w:tcPr>
            <w:tcW w:type="dxa" w:w="3600"/>
            <w:shd w:fill="1F4E78"/>
            <w:tcMar>
              <w:top w:w="80" w:type="dxa"/>
              <w:start w:w="90" w:type="dxa"/>
              <w:bottom w:w="80" w:type="dxa"/>
              <w:end w:w="90" w:type="dxa"/>
            </w:tcMar>
            <w:vAlign w:val="center"/>
          </w:tcPr>
          <w:p>
            <w:pPr>
              <w:jc w:val="center"/>
            </w:pPr>
            <w:r>
              <w:rPr>
                <w:rFonts w:ascii="Aptos" w:hAnsi="Aptos"/>
                <w:b/>
                <w:color w:val="FFFFFF"/>
                <w:sz w:val="16"/>
              </w:rPr>
              <w:t>Relative influence</w:t>
            </w:r>
          </w:p>
        </w:tc>
      </w:tr>
      <w:tr>
        <w:trPr>
          <w:cantSplit w:val="true"/>
        </w:trPr>
        <w:tc>
          <w:tcPr>
            <w:tcW w:type="dxa" w:w="792"/>
            <w:tcMar>
              <w:top w:w="80" w:type="dxa"/>
              <w:start w:w="90" w:type="dxa"/>
              <w:bottom w:w="80" w:type="dxa"/>
              <w:end w:w="90" w:type="dxa"/>
            </w:tcMar>
            <w:vAlign w:val="center"/>
          </w:tcPr>
          <w:p>
            <w:pPr>
              <w:keepLines/>
              <w:spacing w:after="0" w:line="240" w:lineRule="auto"/>
              <w:jc w:val="left"/>
            </w:pPr>
            <w:r>
              <w:rPr>
                <w:rFonts w:ascii="Aptos" w:hAnsi="Aptos"/>
                <w:sz w:val="16"/>
              </w:rPr>
              <w:t>1</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6"/>
              </w:rPr>
              <w:t>G</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17,405</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3600"/>
            <w:tcMar>
              <w:top w:w="80" w:type="dxa"/>
              <w:start w:w="90" w:type="dxa"/>
              <w:bottom w:w="80" w:type="dxa"/>
              <w:end w:w="90" w:type="dxa"/>
            </w:tcMar>
            <w:vAlign w:val="center"/>
          </w:tcPr>
          <w:p>
            <w:pPr>
              <w:keepLines/>
              <w:spacing w:after="0" w:line="240" w:lineRule="auto"/>
              <w:jc w:val="center"/>
            </w:pPr>
            <w:r>
              <w:rPr>
                <w:rFonts w:ascii="Aptos" w:hAnsi="Aptos"/>
                <w:sz w:val="16"/>
              </w:rPr>
              <w:t>Dominant</w:t>
            </w:r>
          </w:p>
        </w:tc>
      </w:tr>
      <w:tr>
        <w:trPr>
          <w:cantSplit w:val="true"/>
        </w:trPr>
        <w:tc>
          <w:tcPr>
            <w:tcW w:type="dxa" w:w="792"/>
            <w:shd w:fill="F2F6FA"/>
            <w:tcMar>
              <w:top w:w="80" w:type="dxa"/>
              <w:start w:w="90" w:type="dxa"/>
              <w:bottom w:w="80" w:type="dxa"/>
              <w:end w:w="90" w:type="dxa"/>
            </w:tcMar>
            <w:vAlign w:val="center"/>
          </w:tcPr>
          <w:p>
            <w:pPr>
              <w:keepLines/>
              <w:spacing w:after="0" w:line="240" w:lineRule="auto"/>
              <w:jc w:val="left"/>
            </w:pPr>
            <w:r>
              <w:rPr>
                <w:rFonts w:ascii="Aptos" w:hAnsi="Aptos"/>
                <w:sz w:val="16"/>
              </w:rPr>
              <w:t>2</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6"/>
              </w:rPr>
              <w:t>sigma</w:t>
            </w:r>
          </w:p>
        </w:tc>
        <w:tc>
          <w:tcPr>
            <w:tcW w:type="dxa" w:w="1656"/>
            <w:shd w:fill="F2F6FA"/>
            <w:tcMar>
              <w:top w:w="80" w:type="dxa"/>
              <w:start w:w="90" w:type="dxa"/>
              <w:bottom w:w="80" w:type="dxa"/>
              <w:end w:w="90" w:type="dxa"/>
            </w:tcMar>
            <w:vAlign w:val="center"/>
          </w:tcPr>
          <w:p>
            <w:pPr>
              <w:keepLines/>
              <w:spacing w:after="0" w:line="240" w:lineRule="auto"/>
              <w:jc w:val="center"/>
            </w:pPr>
            <w:r>
              <w:rPr>
                <w:rFonts w:ascii="Aptos" w:hAnsi="Aptos"/>
                <w:sz w:val="16"/>
              </w:rPr>
              <w:t>16,297</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3600"/>
            <w:shd w:fill="F2F6FA"/>
            <w:tcMar>
              <w:top w:w="80" w:type="dxa"/>
              <w:start w:w="90" w:type="dxa"/>
              <w:bottom w:w="80" w:type="dxa"/>
              <w:end w:w="90" w:type="dxa"/>
            </w:tcMar>
            <w:vAlign w:val="center"/>
          </w:tcPr>
          <w:p>
            <w:pPr>
              <w:keepLines/>
              <w:spacing w:after="0" w:line="240" w:lineRule="auto"/>
              <w:jc w:val="center"/>
            </w:pPr>
            <w:r>
              <w:rPr>
                <w:rFonts w:ascii="Aptos" w:hAnsi="Aptos"/>
                <w:sz w:val="16"/>
              </w:rPr>
              <w:t>Dominant; close to G</w:t>
            </w:r>
          </w:p>
        </w:tc>
      </w:tr>
      <w:tr>
        <w:trPr>
          <w:cantSplit w:val="true"/>
        </w:trPr>
        <w:tc>
          <w:tcPr>
            <w:tcW w:type="dxa" w:w="792"/>
            <w:tcMar>
              <w:top w:w="80" w:type="dxa"/>
              <w:start w:w="90" w:type="dxa"/>
              <w:bottom w:w="80" w:type="dxa"/>
              <w:end w:w="90" w:type="dxa"/>
            </w:tcMar>
            <w:vAlign w:val="center"/>
          </w:tcPr>
          <w:p>
            <w:pPr>
              <w:keepLines/>
              <w:spacing w:after="0" w:line="240" w:lineRule="auto"/>
              <w:jc w:val="left"/>
            </w:pPr>
            <w:r>
              <w:rPr>
                <w:rFonts w:ascii="Aptos" w:hAnsi="Aptos"/>
                <w:sz w:val="16"/>
              </w:rPr>
              <w:t>3</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6"/>
              </w:rPr>
              <w:t>mean_nsamp</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2,760.8</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3600"/>
            <w:tcMar>
              <w:top w:w="80" w:type="dxa"/>
              <w:start w:w="90" w:type="dxa"/>
              <w:bottom w:w="80" w:type="dxa"/>
              <w:end w:w="90" w:type="dxa"/>
            </w:tcMar>
            <w:vAlign w:val="center"/>
          </w:tcPr>
          <w:p>
            <w:pPr>
              <w:keepLines/>
              <w:spacing w:after="0" w:line="240" w:lineRule="auto"/>
              <w:jc w:val="center"/>
            </w:pPr>
            <w:r>
              <w:rPr>
                <w:rFonts w:ascii="Aptos" w:hAnsi="Aptos"/>
                <w:sz w:val="16"/>
              </w:rPr>
              <w:t>Clear second tier</w:t>
            </w:r>
          </w:p>
        </w:tc>
      </w:tr>
      <w:tr>
        <w:trPr>
          <w:cantSplit w:val="true"/>
        </w:trPr>
        <w:tc>
          <w:tcPr>
            <w:tcW w:type="dxa" w:w="792"/>
            <w:shd w:fill="F2F6FA"/>
            <w:tcMar>
              <w:top w:w="80" w:type="dxa"/>
              <w:start w:w="90" w:type="dxa"/>
              <w:bottom w:w="80" w:type="dxa"/>
              <w:end w:w="90" w:type="dxa"/>
            </w:tcMar>
            <w:vAlign w:val="center"/>
          </w:tcPr>
          <w:p>
            <w:pPr>
              <w:keepLines/>
              <w:spacing w:after="0" w:line="240" w:lineRule="auto"/>
              <w:jc w:val="left"/>
            </w:pPr>
            <w:r>
              <w:rPr>
                <w:rFonts w:ascii="Aptos" w:hAnsi="Aptos"/>
                <w:sz w:val="16"/>
              </w:rPr>
              <w:t>4</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6"/>
              </w:rPr>
              <w:t>design_block</w:t>
            </w:r>
          </w:p>
        </w:tc>
        <w:tc>
          <w:tcPr>
            <w:tcW w:type="dxa" w:w="1656"/>
            <w:shd w:fill="F2F6FA"/>
            <w:tcMar>
              <w:top w:w="80" w:type="dxa"/>
              <w:start w:w="90" w:type="dxa"/>
              <w:bottom w:w="80" w:type="dxa"/>
              <w:end w:w="90" w:type="dxa"/>
            </w:tcMar>
            <w:vAlign w:val="center"/>
          </w:tcPr>
          <w:p>
            <w:pPr>
              <w:keepLines/>
              <w:spacing w:after="0" w:line="240" w:lineRule="auto"/>
              <w:jc w:val="center"/>
            </w:pPr>
            <w:r>
              <w:rPr>
                <w:rFonts w:ascii="Aptos" w:hAnsi="Aptos"/>
                <w:sz w:val="16"/>
              </w:rPr>
              <w:t>1,089.6</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3600"/>
            <w:shd w:fill="F2F6FA"/>
            <w:tcMar>
              <w:top w:w="80" w:type="dxa"/>
              <w:start w:w="90" w:type="dxa"/>
              <w:bottom w:w="80" w:type="dxa"/>
              <w:end w:w="90" w:type="dxa"/>
            </w:tcMar>
            <w:vAlign w:val="center"/>
          </w:tcPr>
          <w:p>
            <w:pPr>
              <w:keepLines/>
              <w:spacing w:after="0" w:line="240" w:lineRule="auto"/>
              <w:jc w:val="center"/>
            </w:pPr>
            <w:r>
              <w:rPr>
                <w:rFonts w:ascii="Aptos" w:hAnsi="Aptos"/>
                <w:sz w:val="16"/>
              </w:rPr>
              <w:t>Moderate</w:t>
            </w:r>
          </w:p>
        </w:tc>
      </w:tr>
      <w:tr>
        <w:trPr>
          <w:cantSplit w:val="true"/>
        </w:trPr>
        <w:tc>
          <w:tcPr>
            <w:tcW w:type="dxa" w:w="792"/>
            <w:tcMar>
              <w:top w:w="80" w:type="dxa"/>
              <w:start w:w="90" w:type="dxa"/>
              <w:bottom w:w="80" w:type="dxa"/>
              <w:end w:w="90" w:type="dxa"/>
            </w:tcMar>
            <w:vAlign w:val="center"/>
          </w:tcPr>
          <w:p>
            <w:pPr>
              <w:keepLines/>
              <w:spacing w:after="0" w:line="240" w:lineRule="auto"/>
              <w:jc w:val="left"/>
            </w:pPr>
            <w:r>
              <w:rPr>
                <w:rFonts w:ascii="Aptos" w:hAnsi="Aptos"/>
                <w:sz w:val="16"/>
              </w:rPr>
              <w:t>5</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6"/>
              </w:rPr>
              <w:t>theta_true</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736.8</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3600"/>
            <w:tcMar>
              <w:top w:w="80" w:type="dxa"/>
              <w:start w:w="90" w:type="dxa"/>
              <w:bottom w:w="80" w:type="dxa"/>
              <w:end w:w="90" w:type="dxa"/>
            </w:tcMar>
            <w:vAlign w:val="center"/>
          </w:tcPr>
          <w:p>
            <w:pPr>
              <w:keepLines/>
              <w:spacing w:after="0" w:line="240" w:lineRule="auto"/>
              <w:jc w:val="center"/>
            </w:pPr>
            <w:r>
              <w:rPr>
                <w:rFonts w:ascii="Aptos" w:hAnsi="Aptos"/>
                <w:sz w:val="16"/>
              </w:rPr>
              <w:t>Moderate to modest</w:t>
            </w:r>
          </w:p>
        </w:tc>
      </w:tr>
      <w:tr>
        <w:trPr>
          <w:cantSplit w:val="true"/>
        </w:trPr>
        <w:tc>
          <w:tcPr>
            <w:tcW w:type="dxa" w:w="792"/>
            <w:shd w:fill="F2F6FA"/>
            <w:tcMar>
              <w:top w:w="80" w:type="dxa"/>
              <w:start w:w="90" w:type="dxa"/>
              <w:bottom w:w="80" w:type="dxa"/>
              <w:end w:w="90" w:type="dxa"/>
            </w:tcMar>
            <w:vAlign w:val="center"/>
          </w:tcPr>
          <w:p>
            <w:pPr>
              <w:keepLines/>
              <w:spacing w:after="0" w:line="240" w:lineRule="auto"/>
              <w:jc w:val="left"/>
            </w:pPr>
            <w:r>
              <w:rPr>
                <w:rFonts w:ascii="Aptos" w:hAnsi="Aptos"/>
                <w:sz w:val="16"/>
              </w:rPr>
              <w:t>6</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6"/>
              </w:rPr>
              <w:t>theta_CV</w:t>
            </w:r>
          </w:p>
        </w:tc>
        <w:tc>
          <w:tcPr>
            <w:tcW w:type="dxa" w:w="1656"/>
            <w:shd w:fill="F2F6FA"/>
            <w:tcMar>
              <w:top w:w="80" w:type="dxa"/>
              <w:start w:w="90" w:type="dxa"/>
              <w:bottom w:w="80" w:type="dxa"/>
              <w:end w:w="90" w:type="dxa"/>
            </w:tcMar>
            <w:vAlign w:val="center"/>
          </w:tcPr>
          <w:p>
            <w:pPr>
              <w:keepLines/>
              <w:spacing w:after="0" w:line="240" w:lineRule="auto"/>
              <w:jc w:val="center"/>
            </w:pPr>
            <w:r>
              <w:rPr>
                <w:rFonts w:ascii="Aptos" w:hAnsi="Aptos"/>
                <w:sz w:val="16"/>
              </w:rPr>
              <w:t>30.07</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9.09e-14</w:t>
            </w:r>
          </w:p>
        </w:tc>
        <w:tc>
          <w:tcPr>
            <w:tcW w:type="dxa" w:w="3600"/>
            <w:shd w:fill="F2F6FA"/>
            <w:tcMar>
              <w:top w:w="80" w:type="dxa"/>
              <w:start w:w="90" w:type="dxa"/>
              <w:bottom w:w="80" w:type="dxa"/>
              <w:end w:w="90" w:type="dxa"/>
            </w:tcMar>
            <w:vAlign w:val="center"/>
          </w:tcPr>
          <w:p>
            <w:pPr>
              <w:keepLines/>
              <w:spacing w:after="0" w:line="240" w:lineRule="auto"/>
              <w:jc w:val="center"/>
            </w:pPr>
            <w:r>
              <w:rPr>
                <w:rFonts w:ascii="Aptos" w:hAnsi="Aptos"/>
                <w:sz w:val="16"/>
              </w:rPr>
              <w:t>Small despite significance</w:t>
            </w:r>
          </w:p>
        </w:tc>
      </w:tr>
      <w:tr>
        <w:trPr>
          <w:cantSplit w:val="true"/>
        </w:trPr>
        <w:tc>
          <w:tcPr>
            <w:tcW w:type="dxa" w:w="792"/>
            <w:tcMar>
              <w:top w:w="80" w:type="dxa"/>
              <w:start w:w="90" w:type="dxa"/>
              <w:bottom w:w="80" w:type="dxa"/>
              <w:end w:w="90" w:type="dxa"/>
            </w:tcMar>
            <w:vAlign w:val="center"/>
          </w:tcPr>
          <w:p>
            <w:pPr>
              <w:keepLines/>
              <w:spacing w:after="0" w:line="240" w:lineRule="auto"/>
              <w:jc w:val="left"/>
            </w:pPr>
            <w:r>
              <w:rPr>
                <w:rFonts w:ascii="Aptos" w:hAnsi="Aptos"/>
                <w:sz w:val="16"/>
              </w:rPr>
              <w:t>7</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6"/>
              </w:rPr>
              <w:t>p2</w:t>
            </w:r>
          </w:p>
        </w:tc>
        <w:tc>
          <w:tcPr>
            <w:tcW w:type="dxa" w:w="1656"/>
            <w:tcMar>
              <w:top w:w="80" w:type="dxa"/>
              <w:start w:w="90" w:type="dxa"/>
              <w:bottom w:w="80" w:type="dxa"/>
              <w:end w:w="90" w:type="dxa"/>
            </w:tcMar>
            <w:vAlign w:val="center"/>
          </w:tcPr>
          <w:p>
            <w:pPr>
              <w:keepLines/>
              <w:spacing w:after="0" w:line="240" w:lineRule="auto"/>
              <w:jc w:val="center"/>
            </w:pPr>
            <w:r>
              <w:rPr>
                <w:rFonts w:ascii="Aptos" w:hAnsi="Aptos"/>
                <w:sz w:val="16"/>
              </w:rPr>
              <w:t>1.97</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0.1609</w:t>
            </w:r>
          </w:p>
        </w:tc>
        <w:tc>
          <w:tcPr>
            <w:tcW w:type="dxa" w:w="3600"/>
            <w:tcMar>
              <w:top w:w="80" w:type="dxa"/>
              <w:start w:w="90" w:type="dxa"/>
              <w:bottom w:w="80" w:type="dxa"/>
              <w:end w:w="90" w:type="dxa"/>
            </w:tcMar>
            <w:vAlign w:val="center"/>
          </w:tcPr>
          <w:p>
            <w:pPr>
              <w:keepLines/>
              <w:spacing w:after="0" w:line="240" w:lineRule="auto"/>
              <w:jc w:val="center"/>
            </w:pPr>
            <w:r>
              <w:rPr>
                <w:rFonts w:ascii="Aptos" w:hAnsi="Aptos"/>
                <w:sz w:val="16"/>
              </w:rPr>
              <w:t>No evidence</w:t>
            </w:r>
          </w:p>
        </w:tc>
      </w:tr>
      <w:tr>
        <w:trPr>
          <w:cantSplit w:val="true"/>
        </w:trPr>
        <w:tc>
          <w:tcPr>
            <w:tcW w:type="dxa" w:w="792"/>
            <w:shd w:fill="F2F6FA"/>
            <w:tcMar>
              <w:top w:w="80" w:type="dxa"/>
              <w:start w:w="90" w:type="dxa"/>
              <w:bottom w:w="80" w:type="dxa"/>
              <w:end w:w="90" w:type="dxa"/>
            </w:tcMar>
            <w:vAlign w:val="center"/>
          </w:tcPr>
          <w:p>
            <w:pPr>
              <w:keepLines/>
              <w:spacing w:after="0" w:line="240" w:lineRule="auto"/>
              <w:jc w:val="left"/>
            </w:pPr>
            <w:r>
              <w:rPr>
                <w:rFonts w:ascii="Aptos" w:hAnsi="Aptos"/>
                <w:sz w:val="16"/>
              </w:rPr>
              <w:t>8</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6"/>
              </w:rPr>
              <w:t>p1</w:t>
            </w:r>
          </w:p>
        </w:tc>
        <w:tc>
          <w:tcPr>
            <w:tcW w:type="dxa" w:w="1656"/>
            <w:shd w:fill="F2F6FA"/>
            <w:tcMar>
              <w:top w:w="80" w:type="dxa"/>
              <w:start w:w="90" w:type="dxa"/>
              <w:bottom w:w="80" w:type="dxa"/>
              <w:end w:w="90" w:type="dxa"/>
            </w:tcMar>
            <w:vAlign w:val="center"/>
          </w:tcPr>
          <w:p>
            <w:pPr>
              <w:keepLines/>
              <w:spacing w:after="0" w:line="240" w:lineRule="auto"/>
              <w:jc w:val="center"/>
            </w:pPr>
            <w:r>
              <w:rPr>
                <w:rFonts w:ascii="Aptos" w:hAnsi="Aptos"/>
                <w:sz w:val="16"/>
              </w:rPr>
              <w:t>1.47</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0.2254</w:t>
            </w:r>
          </w:p>
        </w:tc>
        <w:tc>
          <w:tcPr>
            <w:tcW w:type="dxa" w:w="3600"/>
            <w:shd w:fill="F2F6FA"/>
            <w:tcMar>
              <w:top w:w="80" w:type="dxa"/>
              <w:start w:w="90" w:type="dxa"/>
              <w:bottom w:w="80" w:type="dxa"/>
              <w:end w:w="90" w:type="dxa"/>
            </w:tcMar>
            <w:vAlign w:val="center"/>
          </w:tcPr>
          <w:p>
            <w:pPr>
              <w:keepLines/>
              <w:spacing w:after="0" w:line="240" w:lineRule="auto"/>
              <w:jc w:val="center"/>
            </w:pPr>
            <w:r>
              <w:rPr>
                <w:rFonts w:ascii="Aptos" w:hAnsi="Aptos"/>
                <w:sz w:val="16"/>
              </w:rPr>
              <w:t>No evidence</w:t>
            </w:r>
          </w:p>
        </w:tc>
      </w:tr>
    </w:tbl>
    <w:p>
      <w:pPr>
        <w:spacing w:after="20"/>
      </w:pPr>
    </w:p>
    <w:p>
      <w:pPr>
        <w:pStyle w:val="TableNote"/>
      </w:pPr>
      <w:r>
        <w:t>Note. Rankings use Type III F statistics within the same fitted response. F statistics are affected by degrees of freedom and do not equal variance-explained measures.</w:t>
      </w:r>
    </w:p>
    <w:p>
      <w:pPr>
        <w:pStyle w:val="Heading2"/>
      </w:pPr>
      <w:r>
        <w:t>Method dependence on experimental factors</w:t>
      </w:r>
    </w:p>
    <w:p>
      <w:r>
        <w:t>Every method-by-factor interaction is significant except the interactions with p1 and p2. Method-by-sigma is the dominant experimental interaction, F(8, 279930) = 804.24. It is almost five times method-by-G (F = 168.78) and about ten times method-by-mean_nsamp (F = 84.23). Method-by-theta_true (F = 67.81) and method-by-design_block (F = 57.25) are also clear. Method-by-theta_CV is statistically significant but small (F = 3.26, p = 0.001033). Method-by-p1 and method-by-p2 are null.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2448"/>
            <w:shd w:fill="1F4E78"/>
            <w:tcMar>
              <w:top w:w="80" w:type="dxa"/>
              <w:start w:w="90" w:type="dxa"/>
              <w:bottom w:w="80" w:type="dxa"/>
              <w:end w:w="90" w:type="dxa"/>
            </w:tcMar>
            <w:vAlign w:val="center"/>
          </w:tcPr>
          <w:p>
            <w:pPr>
              <w:jc w:val="center"/>
            </w:pPr>
            <w:r>
              <w:rPr>
                <w:rFonts w:ascii="Aptos" w:hAnsi="Aptos"/>
                <w:b/>
                <w:color w:val="FFFFFF"/>
                <w:sz w:val="16"/>
              </w:rPr>
              <w:t>Interaction</w:t>
            </w:r>
          </w:p>
        </w:tc>
        <w:tc>
          <w:tcPr>
            <w:tcW w:type="dxa" w:w="1512"/>
            <w:shd w:fill="1F4E78"/>
            <w:tcMar>
              <w:top w:w="80" w:type="dxa"/>
              <w:start w:w="90" w:type="dxa"/>
              <w:bottom w:w="80" w:type="dxa"/>
              <w:end w:w="90" w:type="dxa"/>
            </w:tcMar>
            <w:vAlign w:val="center"/>
          </w:tcPr>
          <w:p>
            <w:pPr>
              <w:jc w:val="center"/>
            </w:pPr>
            <w:r>
              <w:rPr>
                <w:rFonts w:ascii="Aptos" w:hAnsi="Aptos"/>
                <w:b/>
                <w:color w:val="FFFFFF"/>
                <w:sz w:val="16"/>
              </w:rPr>
              <w:t>F statistic</w:t>
            </w:r>
          </w:p>
        </w:tc>
        <w:tc>
          <w:tcPr>
            <w:tcW w:type="dxa" w:w="1728"/>
            <w:shd w:fill="1F4E78"/>
            <w:tcMar>
              <w:top w:w="80" w:type="dxa"/>
              <w:start w:w="90" w:type="dxa"/>
              <w:bottom w:w="80" w:type="dxa"/>
              <w:end w:w="90" w:type="dxa"/>
            </w:tcMar>
            <w:vAlign w:val="center"/>
          </w:tcPr>
          <w:p>
            <w:pPr>
              <w:jc w:val="center"/>
            </w:pPr>
            <w:r>
              <w:rPr>
                <w:rFonts w:ascii="Aptos" w:hAnsi="Aptos"/>
                <w:b/>
                <w:color w:val="FFFFFF"/>
                <w:sz w:val="16"/>
              </w:rPr>
              <w:t>p value</w:t>
            </w:r>
          </w:p>
        </w:tc>
        <w:tc>
          <w:tcPr>
            <w:tcW w:type="dxa" w:w="4320"/>
            <w:shd w:fill="1F4E78"/>
            <w:tcMar>
              <w:top w:w="80" w:type="dxa"/>
              <w:start w:w="90" w:type="dxa"/>
              <w:bottom w:w="80" w:type="dxa"/>
              <w:end w:w="90" w:type="dxa"/>
            </w:tcMar>
            <w:vAlign w:val="center"/>
          </w:tcPr>
          <w:p>
            <w:pPr>
              <w:jc w:val="center"/>
            </w:pPr>
            <w:r>
              <w:rPr>
                <w:rFonts w:ascii="Aptos" w:hAnsi="Aptos"/>
                <w:b/>
                <w:color w:val="FFFFFF"/>
                <w:sz w:val="16"/>
              </w:rPr>
              <w:t>Meaning</w:t>
            </w:r>
          </w:p>
        </w:tc>
      </w:tr>
      <w:tr>
        <w:trPr>
          <w:cantSplit w:val="true"/>
        </w:trPr>
        <w:tc>
          <w:tcPr>
            <w:tcW w:type="dxa" w:w="2448"/>
            <w:tcMar>
              <w:top w:w="80" w:type="dxa"/>
              <w:start w:w="90" w:type="dxa"/>
              <w:bottom w:w="80" w:type="dxa"/>
              <w:end w:w="90" w:type="dxa"/>
            </w:tcMar>
            <w:vAlign w:val="center"/>
          </w:tcPr>
          <w:p>
            <w:pPr>
              <w:keepLines/>
              <w:spacing w:after="0" w:line="240" w:lineRule="auto"/>
              <w:jc w:val="left"/>
            </w:pPr>
            <w:r>
              <w:rPr>
                <w:rFonts w:ascii="Aptos" w:hAnsi="Aptos"/>
                <w:sz w:val="16"/>
              </w:rPr>
              <w:t>method x sigma</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804.24</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Largest conditional change in method performance</w:t>
            </w:r>
          </w:p>
        </w:tc>
      </w:tr>
      <w:tr>
        <w:trPr>
          <w:cantSplit w:val="true"/>
        </w:trPr>
        <w:tc>
          <w:tcPr>
            <w:tcW w:type="dxa" w:w="2448"/>
            <w:shd w:fill="F2F6FA"/>
            <w:tcMar>
              <w:top w:w="80" w:type="dxa"/>
              <w:start w:w="90" w:type="dxa"/>
              <w:bottom w:w="80" w:type="dxa"/>
              <w:end w:w="90" w:type="dxa"/>
            </w:tcMar>
            <w:vAlign w:val="center"/>
          </w:tcPr>
          <w:p>
            <w:pPr>
              <w:keepLines/>
              <w:spacing w:after="0" w:line="240" w:lineRule="auto"/>
              <w:jc w:val="left"/>
            </w:pPr>
            <w:r>
              <w:rPr>
                <w:rFonts w:ascii="Aptos" w:hAnsi="Aptos"/>
                <w:sz w:val="16"/>
              </w:rPr>
              <w:t>method x metric</w:t>
            </w:r>
          </w:p>
        </w:tc>
        <w:tc>
          <w:tcPr>
            <w:tcW w:type="dxa" w:w="1512"/>
            <w:shd w:fill="F2F6FA"/>
            <w:tcMar>
              <w:top w:w="80" w:type="dxa"/>
              <w:start w:w="90" w:type="dxa"/>
              <w:bottom w:w="80" w:type="dxa"/>
              <w:end w:w="90" w:type="dxa"/>
            </w:tcMar>
            <w:vAlign w:val="center"/>
          </w:tcPr>
          <w:p>
            <w:pPr>
              <w:keepLines/>
              <w:spacing w:after="0" w:line="240" w:lineRule="auto"/>
              <w:jc w:val="center"/>
            </w:pPr>
            <w:r>
              <w:rPr>
                <w:rFonts w:ascii="Aptos" w:hAnsi="Aptos"/>
                <w:sz w:val="16"/>
              </w:rPr>
              <w:t>418.29</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Method ranking and gaps vary by error definition</w:t>
            </w:r>
          </w:p>
        </w:tc>
      </w:tr>
      <w:tr>
        <w:trPr>
          <w:cantSplit w:val="true"/>
        </w:trPr>
        <w:tc>
          <w:tcPr>
            <w:tcW w:type="dxa" w:w="2448"/>
            <w:tcMar>
              <w:top w:w="80" w:type="dxa"/>
              <w:start w:w="90" w:type="dxa"/>
              <w:bottom w:w="80" w:type="dxa"/>
              <w:end w:w="90" w:type="dxa"/>
            </w:tcMar>
            <w:vAlign w:val="center"/>
          </w:tcPr>
          <w:p>
            <w:pPr>
              <w:keepLines/>
              <w:spacing w:after="0" w:line="240" w:lineRule="auto"/>
              <w:jc w:val="left"/>
            </w:pPr>
            <w:r>
              <w:rPr>
                <w:rFonts w:ascii="Aptos" w:hAnsi="Aptos"/>
                <w:sz w:val="16"/>
              </w:rPr>
              <w:t>method x G</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168.78</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Methods respond differently to G</w:t>
            </w:r>
          </w:p>
        </w:tc>
      </w:tr>
      <w:tr>
        <w:trPr>
          <w:cantSplit w:val="true"/>
        </w:trPr>
        <w:tc>
          <w:tcPr>
            <w:tcW w:type="dxa" w:w="2448"/>
            <w:shd w:fill="F2F6FA"/>
            <w:tcMar>
              <w:top w:w="80" w:type="dxa"/>
              <w:start w:w="90" w:type="dxa"/>
              <w:bottom w:w="80" w:type="dxa"/>
              <w:end w:w="90" w:type="dxa"/>
            </w:tcMar>
            <w:vAlign w:val="center"/>
          </w:tcPr>
          <w:p>
            <w:pPr>
              <w:keepLines/>
              <w:spacing w:after="0" w:line="240" w:lineRule="auto"/>
              <w:jc w:val="left"/>
            </w:pPr>
            <w:r>
              <w:rPr>
                <w:rFonts w:ascii="Aptos" w:hAnsi="Aptos"/>
                <w:sz w:val="16"/>
              </w:rPr>
              <w:t>method x mean_nsamp</w:t>
            </w:r>
          </w:p>
        </w:tc>
        <w:tc>
          <w:tcPr>
            <w:tcW w:type="dxa" w:w="1512"/>
            <w:shd w:fill="F2F6FA"/>
            <w:tcMar>
              <w:top w:w="80" w:type="dxa"/>
              <w:start w:w="90" w:type="dxa"/>
              <w:bottom w:w="80" w:type="dxa"/>
              <w:end w:w="90" w:type="dxa"/>
            </w:tcMar>
            <w:vAlign w:val="center"/>
          </w:tcPr>
          <w:p>
            <w:pPr>
              <w:keepLines/>
              <w:spacing w:after="0" w:line="240" w:lineRule="auto"/>
              <w:jc w:val="center"/>
            </w:pPr>
            <w:r>
              <w:rPr>
                <w:rFonts w:ascii="Aptos" w:hAnsi="Aptos"/>
                <w:sz w:val="16"/>
              </w:rPr>
              <w:t>84.23</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Sample-size gains differ among methods</w:t>
            </w:r>
          </w:p>
        </w:tc>
      </w:tr>
      <w:tr>
        <w:trPr>
          <w:cantSplit w:val="true"/>
        </w:trPr>
        <w:tc>
          <w:tcPr>
            <w:tcW w:type="dxa" w:w="2448"/>
            <w:tcMar>
              <w:top w:w="80" w:type="dxa"/>
              <w:start w:w="90" w:type="dxa"/>
              <w:bottom w:w="80" w:type="dxa"/>
              <w:end w:w="90" w:type="dxa"/>
            </w:tcMar>
            <w:vAlign w:val="center"/>
          </w:tcPr>
          <w:p>
            <w:pPr>
              <w:keepLines/>
              <w:spacing w:after="0" w:line="240" w:lineRule="auto"/>
              <w:jc w:val="left"/>
            </w:pPr>
            <w:r>
              <w:rPr>
                <w:rFonts w:ascii="Aptos" w:hAnsi="Aptos"/>
                <w:sz w:val="16"/>
              </w:rPr>
              <w:t>method x theta_true</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67.81</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Smaller but clear method dependence</w:t>
            </w:r>
          </w:p>
        </w:tc>
      </w:tr>
      <w:tr>
        <w:trPr>
          <w:cantSplit w:val="true"/>
        </w:trPr>
        <w:tc>
          <w:tcPr>
            <w:tcW w:type="dxa" w:w="2448"/>
            <w:shd w:fill="F2F6FA"/>
            <w:tcMar>
              <w:top w:w="80" w:type="dxa"/>
              <w:start w:w="90" w:type="dxa"/>
              <w:bottom w:w="80" w:type="dxa"/>
              <w:end w:w="90" w:type="dxa"/>
            </w:tcMar>
            <w:vAlign w:val="center"/>
          </w:tcPr>
          <w:p>
            <w:pPr>
              <w:keepLines/>
              <w:spacing w:after="0" w:line="240" w:lineRule="auto"/>
              <w:jc w:val="left"/>
            </w:pPr>
            <w:r>
              <w:rPr>
                <w:rFonts w:ascii="Aptos" w:hAnsi="Aptos"/>
                <w:sz w:val="16"/>
              </w:rPr>
              <w:t>method x design_block</w:t>
            </w:r>
          </w:p>
        </w:tc>
        <w:tc>
          <w:tcPr>
            <w:tcW w:type="dxa" w:w="1512"/>
            <w:shd w:fill="F2F6FA"/>
            <w:tcMar>
              <w:top w:w="80" w:type="dxa"/>
              <w:start w:w="90" w:type="dxa"/>
              <w:bottom w:w="80" w:type="dxa"/>
              <w:end w:w="90" w:type="dxa"/>
            </w:tcMar>
            <w:vAlign w:val="center"/>
          </w:tcPr>
          <w:p>
            <w:pPr>
              <w:keepLines/>
              <w:spacing w:after="0" w:line="240" w:lineRule="auto"/>
              <w:jc w:val="center"/>
            </w:pPr>
            <w:r>
              <w:rPr>
                <w:rFonts w:ascii="Aptos" w:hAnsi="Aptos"/>
                <w:sz w:val="16"/>
              </w:rPr>
              <w:t>57.25</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&lt; 2.2e-16</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Some distribution-specific performance</w:t>
            </w:r>
          </w:p>
        </w:tc>
      </w:tr>
      <w:tr>
        <w:trPr>
          <w:cantSplit w:val="true"/>
        </w:trPr>
        <w:tc>
          <w:tcPr>
            <w:tcW w:type="dxa" w:w="2448"/>
            <w:tcMar>
              <w:top w:w="80" w:type="dxa"/>
              <w:start w:w="90" w:type="dxa"/>
              <w:bottom w:w="80" w:type="dxa"/>
              <w:end w:w="90" w:type="dxa"/>
            </w:tcMar>
            <w:vAlign w:val="center"/>
          </w:tcPr>
          <w:p>
            <w:pPr>
              <w:keepLines/>
              <w:spacing w:after="0" w:line="240" w:lineRule="auto"/>
              <w:jc w:val="left"/>
            </w:pPr>
            <w:r>
              <w:rPr>
                <w:rFonts w:ascii="Aptos" w:hAnsi="Aptos"/>
                <w:sz w:val="16"/>
              </w:rPr>
              <w:t>method x theta_CV</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3.26</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0.001033</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Statistically detectable but weak</w:t>
            </w:r>
          </w:p>
        </w:tc>
      </w:tr>
      <w:tr>
        <w:trPr>
          <w:cantSplit w:val="true"/>
        </w:trPr>
        <w:tc>
          <w:tcPr>
            <w:tcW w:type="dxa" w:w="2448"/>
            <w:shd w:fill="F2F6FA"/>
            <w:tcMar>
              <w:top w:w="80" w:type="dxa"/>
              <w:start w:w="90" w:type="dxa"/>
              <w:bottom w:w="80" w:type="dxa"/>
              <w:end w:w="90" w:type="dxa"/>
            </w:tcMar>
            <w:vAlign w:val="center"/>
          </w:tcPr>
          <w:p>
            <w:pPr>
              <w:keepLines/>
              <w:spacing w:after="0" w:line="240" w:lineRule="auto"/>
              <w:jc w:val="left"/>
            </w:pPr>
            <w:r>
              <w:rPr>
                <w:rFonts w:ascii="Aptos" w:hAnsi="Aptos"/>
                <w:sz w:val="16"/>
              </w:rPr>
              <w:t>method x p1</w:t>
            </w:r>
          </w:p>
        </w:tc>
        <w:tc>
          <w:tcPr>
            <w:tcW w:type="dxa" w:w="1512"/>
            <w:shd w:fill="F2F6FA"/>
            <w:tcMar>
              <w:top w:w="80" w:type="dxa"/>
              <w:start w:w="90" w:type="dxa"/>
              <w:bottom w:w="80" w:type="dxa"/>
              <w:end w:w="90" w:type="dxa"/>
            </w:tcMar>
            <w:vAlign w:val="center"/>
          </w:tcPr>
          <w:p>
            <w:pPr>
              <w:keepLines/>
              <w:spacing w:after="0" w:line="240" w:lineRule="auto"/>
              <w:jc w:val="center"/>
            </w:pPr>
            <w:r>
              <w:rPr>
                <w:rFonts w:ascii="Aptos" w:hAnsi="Aptos"/>
                <w:sz w:val="16"/>
              </w:rPr>
              <w:t>0.97</w:t>
            </w:r>
          </w:p>
        </w:tc>
        <w:tc>
          <w:tcPr>
            <w:tcW w:type="dxa" w:w="1728"/>
            <w:shd w:fill="F2F6FA"/>
            <w:tcMar>
              <w:top w:w="80" w:type="dxa"/>
              <w:start w:w="90" w:type="dxa"/>
              <w:bottom w:w="80" w:type="dxa"/>
              <w:end w:w="90" w:type="dxa"/>
            </w:tcMar>
            <w:vAlign w:val="center"/>
          </w:tcPr>
          <w:p>
            <w:pPr>
              <w:keepLines/>
              <w:spacing w:after="0" w:line="240" w:lineRule="auto"/>
              <w:jc w:val="center"/>
            </w:pPr>
            <w:r>
              <w:rPr>
                <w:rFonts w:ascii="Aptos" w:hAnsi="Aptos"/>
                <w:sz w:val="16"/>
              </w:rPr>
              <w:t>0.4242</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No evidence</w:t>
            </w:r>
          </w:p>
        </w:tc>
      </w:tr>
      <w:tr>
        <w:trPr>
          <w:cantSplit w:val="true"/>
        </w:trPr>
        <w:tc>
          <w:tcPr>
            <w:tcW w:type="dxa" w:w="2448"/>
            <w:tcMar>
              <w:top w:w="80" w:type="dxa"/>
              <w:start w:w="90" w:type="dxa"/>
              <w:bottom w:w="80" w:type="dxa"/>
              <w:end w:w="90" w:type="dxa"/>
            </w:tcMar>
            <w:vAlign w:val="center"/>
          </w:tcPr>
          <w:p>
            <w:pPr>
              <w:keepLines/>
              <w:spacing w:after="0" w:line="240" w:lineRule="auto"/>
              <w:jc w:val="left"/>
            </w:pPr>
            <w:r>
              <w:rPr>
                <w:rFonts w:ascii="Aptos" w:hAnsi="Aptos"/>
                <w:sz w:val="16"/>
              </w:rPr>
              <w:t>method x p2</w:t>
            </w:r>
          </w:p>
        </w:tc>
        <w:tc>
          <w:tcPr>
            <w:tcW w:type="dxa" w:w="1512"/>
            <w:tcMar>
              <w:top w:w="80" w:type="dxa"/>
              <w:start w:w="90" w:type="dxa"/>
              <w:bottom w:w="80" w:type="dxa"/>
              <w:end w:w="90" w:type="dxa"/>
            </w:tcMar>
            <w:vAlign w:val="center"/>
          </w:tcPr>
          <w:p>
            <w:pPr>
              <w:keepLines/>
              <w:spacing w:after="0" w:line="240" w:lineRule="auto"/>
              <w:jc w:val="center"/>
            </w:pPr>
            <w:r>
              <w:rPr>
                <w:rFonts w:ascii="Aptos" w:hAnsi="Aptos"/>
                <w:sz w:val="16"/>
              </w:rPr>
              <w:t>0.32</w:t>
            </w:r>
          </w:p>
        </w:tc>
        <w:tc>
          <w:tcPr>
            <w:tcW w:type="dxa" w:w="1728"/>
            <w:tcMar>
              <w:top w:w="80" w:type="dxa"/>
              <w:start w:w="90" w:type="dxa"/>
              <w:bottom w:w="80" w:type="dxa"/>
              <w:end w:w="90" w:type="dxa"/>
            </w:tcMar>
            <w:vAlign w:val="center"/>
          </w:tcPr>
          <w:p>
            <w:pPr>
              <w:keepLines/>
              <w:spacing w:after="0" w:line="240" w:lineRule="auto"/>
              <w:jc w:val="center"/>
            </w:pPr>
            <w:r>
              <w:rPr>
                <w:rFonts w:ascii="Aptos" w:hAnsi="Aptos"/>
                <w:sz w:val="16"/>
              </w:rPr>
              <w:t>0.8632</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No evidence</w:t>
            </w:r>
          </w:p>
        </w:tc>
      </w:tr>
    </w:tbl>
    <w:p>
      <w:pPr>
        <w:spacing w:after="20"/>
      </w:pPr>
    </w:p>
    <w:p>
      <w:pPr>
        <w:pStyle w:val="Heading3"/>
      </w:pPr>
      <w:r>
        <w:t>Directional patterns from the fixed coefficients</w:t>
      </w:r>
    </w:p>
    <w:p>
      <w:r>
        <w:t>Under the sum-to-zero coding implied by the coefficient structure, increasing sigma from 0.25 to 1 raises predicted log1p accuracy error for every method. The approximate increases are 0.051 for i, 0.088 for ii, 0.084 for iii, 0.082 for iv, and 0.073 for v. Method i is therefore least sensitive to increasing sigma, v is next, and ii deteriorates most. This pattern supports broad robustness of i and conditional vulnerability of ii under high dispersion.</w:t>
      </w:r>
    </w:p>
    <w:p>
      <w:r>
        <w:t>Increasing G from 2 to 8 lowers predicted error for every method. The approximate decreases are 0.071 for i, 0.086 for ii, 0.079 for iii, 0.083 for iv, and 0.082 for v. Method ii benefits most from larger G, while i benefits least. Increasing mean sample size from 25 to 100 also reduces predicted error, with approximate changes of -0.028 for i, -0.026 for ii, -0.033 for iii, -0.037 for iv, and -0.036 for v. Methods iv and v gain most from additional sampling; ii gains least.</w:t>
      </w:r>
    </w:p>
    <w:p>
      <w:r>
        <w:t>Higher theta_true improves accuracy for all five methods. The modeled improvement is smallest for i and largest for ii, with iii, v, and iv between them. These directional comparisons help explain why a global ranking is not guaranteed to hold at every factorial combination.</w:t>
      </w:r>
    </w:p>
    <w:p>
      <w:pPr>
        <w:pStyle w:val="Heading1"/>
      </w:pPr>
      <w:r>
        <w:t>3 Comparative method performance</w:t>
      </w:r>
    </w:p>
    <w:p>
      <w:r>
        <w:t>The EMMs were evaluated at Poisson sampling, G = 4, theta_true = 1, theta_CV = 0.2, sigma = 1, mean_nsamp = 100, p1 = 0.16780625, and p2 = 0.16580312. Lower EMMs indicate better accuracy on the log1p scale. Pairwise tests use Holm adjustment across ten method comparisons within each metric.</w:t>
      </w:r>
    </w:p>
    <w:p>
      <w:pPr>
        <w:pStyle w:val="Heading2"/>
      </w:pPr>
      <w:r>
        <w:t>Global performance averaged over metrics</w:t>
      </w:r>
    </w:p>
    <w:p>
      <w:r>
        <w:t>Averaged equally over RMSE, L1, and L-infinity, i has the lowest EMM (0.144), followed closely by v (0.146). Their difference is not significant (Holm p = 0.1016), so they constitute the leading statistical group. Method iv (0.155) slightly outperforms iii (0.157; p = 0.0435), and both are significantly worse than i and v. Method ii is worst (0.184) and differs from every other method at p &lt; 0.0001.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080"/>
            <w:shd w:fill="1F4E78"/>
            <w:tcMar>
              <w:top w:w="80" w:type="dxa"/>
              <w:start w:w="90" w:type="dxa"/>
              <w:bottom w:w="80" w:type="dxa"/>
              <w:end w:w="90" w:type="dxa"/>
            </w:tcMar>
            <w:vAlign w:val="center"/>
          </w:tcPr>
          <w:p>
            <w:pPr>
              <w:jc w:val="center"/>
            </w:pPr>
            <w:r>
              <w:rPr>
                <w:rFonts w:ascii="Aptos" w:hAnsi="Aptos"/>
                <w:b/>
                <w:color w:val="FFFFFF"/>
                <w:sz w:val="17"/>
              </w:rPr>
              <w:t>Method</w:t>
            </w:r>
          </w:p>
        </w:tc>
        <w:tc>
          <w:tcPr>
            <w:tcW w:type="dxa" w:w="1584"/>
            <w:shd w:fill="1F4E78"/>
            <w:tcMar>
              <w:top w:w="80" w:type="dxa"/>
              <w:start w:w="90" w:type="dxa"/>
              <w:bottom w:w="80" w:type="dxa"/>
              <w:end w:w="90" w:type="dxa"/>
            </w:tcMar>
            <w:vAlign w:val="center"/>
          </w:tcPr>
          <w:p>
            <w:pPr>
              <w:jc w:val="center"/>
            </w:pPr>
            <w:r>
              <w:rPr>
                <w:rFonts w:ascii="Aptos" w:hAnsi="Aptos"/>
                <w:b/>
                <w:color w:val="FFFFFF"/>
                <w:sz w:val="17"/>
              </w:rPr>
              <w:t>Overall EMM</w:t>
            </w:r>
          </w:p>
        </w:tc>
        <w:tc>
          <w:tcPr>
            <w:tcW w:type="dxa" w:w="2232"/>
            <w:shd w:fill="1F4E78"/>
            <w:tcMar>
              <w:top w:w="80" w:type="dxa"/>
              <w:start w:w="90" w:type="dxa"/>
              <w:bottom w:w="80" w:type="dxa"/>
              <w:end w:w="90" w:type="dxa"/>
            </w:tcMar>
            <w:vAlign w:val="center"/>
          </w:tcPr>
          <w:p>
            <w:pPr>
              <w:jc w:val="center"/>
            </w:pPr>
            <w:r>
              <w:rPr>
                <w:rFonts w:ascii="Aptos" w:hAnsi="Aptos"/>
                <w:b/>
                <w:color w:val="FFFFFF"/>
                <w:sz w:val="17"/>
              </w:rPr>
              <w:t>95 percent interval</w:t>
            </w:r>
          </w:p>
        </w:tc>
        <w:tc>
          <w:tcPr>
            <w:tcW w:type="dxa" w:w="4320"/>
            <w:shd w:fill="1F4E78"/>
            <w:tcMar>
              <w:top w:w="80" w:type="dxa"/>
              <w:start w:w="90" w:type="dxa"/>
              <w:bottom w:w="80" w:type="dxa"/>
              <w:end w:w="90" w:type="dxa"/>
            </w:tcMar>
            <w:vAlign w:val="center"/>
          </w:tcPr>
          <w:p>
            <w:pPr>
              <w:jc w:val="center"/>
            </w:pPr>
            <w:r>
              <w:rPr>
                <w:rFonts w:ascii="Aptos" w:hAnsi="Aptos"/>
                <w:b/>
                <w:color w:val="FFFFFF"/>
                <w:sz w:val="17"/>
              </w:rPr>
              <w:t>Global interpretation</w:t>
            </w:r>
          </w:p>
        </w:tc>
      </w:tr>
      <w:tr>
        <w:trPr>
          <w:cantSplit w:val="true"/>
        </w:trPr>
        <w:tc>
          <w:tcPr>
            <w:tcW w:type="dxa" w:w="1080"/>
            <w:tcMar>
              <w:top w:w="80" w:type="dxa"/>
              <w:start w:w="90" w:type="dxa"/>
              <w:bottom w:w="80" w:type="dxa"/>
              <w:end w:w="90" w:type="dxa"/>
            </w:tcMar>
            <w:vAlign w:val="center"/>
          </w:tcPr>
          <w:p>
            <w:pPr>
              <w:keepLines/>
              <w:spacing w:after="0" w:line="240" w:lineRule="auto"/>
              <w:jc w:val="left"/>
            </w:pPr>
            <w:r>
              <w:rPr>
                <w:rFonts w:ascii="Aptos" w:hAnsi="Aptos"/>
                <w:sz w:val="17"/>
              </w:rPr>
              <w:t>i</w:t>
            </w:r>
          </w:p>
        </w:tc>
        <w:tc>
          <w:tcPr>
            <w:tcW w:type="dxa" w:w="1584"/>
            <w:tcMar>
              <w:top w:w="80" w:type="dxa"/>
              <w:start w:w="90" w:type="dxa"/>
              <w:bottom w:w="80" w:type="dxa"/>
              <w:end w:w="90" w:type="dxa"/>
            </w:tcMar>
            <w:vAlign w:val="center"/>
          </w:tcPr>
          <w:p>
            <w:pPr>
              <w:keepLines/>
              <w:spacing w:after="0" w:line="240" w:lineRule="auto"/>
              <w:jc w:val="center"/>
            </w:pPr>
            <w:r>
              <w:rPr>
                <w:rFonts w:ascii="Aptos" w:hAnsi="Aptos"/>
                <w:sz w:val="17"/>
              </w:rPr>
              <w:t>0.144</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7"/>
              </w:rPr>
              <w:t>0.143 to 0.146</w:t>
            </w:r>
          </w:p>
        </w:tc>
        <w:tc>
          <w:tcPr>
            <w:tcW w:type="dxa" w:w="4320"/>
            <w:tcMar>
              <w:top w:w="80" w:type="dxa"/>
              <w:start w:w="90" w:type="dxa"/>
              <w:bottom w:w="80" w:type="dxa"/>
              <w:end w:w="90" w:type="dxa"/>
            </w:tcMar>
            <w:vAlign w:val="center"/>
          </w:tcPr>
          <w:p>
            <w:pPr>
              <w:keepLines/>
              <w:spacing w:after="0" w:line="240" w:lineRule="auto"/>
              <w:jc w:val="center"/>
            </w:pPr>
            <w:r>
              <w:rPr>
                <w:rFonts w:ascii="Aptos" w:hAnsi="Aptos"/>
                <w:sz w:val="17"/>
              </w:rPr>
              <w:t>Best group; tied with v</w:t>
            </w:r>
          </w:p>
        </w:tc>
      </w:tr>
      <w:tr>
        <w:trPr>
          <w:cantSplit w:val="true"/>
        </w:trPr>
        <w:tc>
          <w:tcPr>
            <w:tcW w:type="dxa" w:w="1080"/>
            <w:shd w:fill="F2F6FA"/>
            <w:tcMar>
              <w:top w:w="80" w:type="dxa"/>
              <w:start w:w="90" w:type="dxa"/>
              <w:bottom w:w="80" w:type="dxa"/>
              <w:end w:w="90" w:type="dxa"/>
            </w:tcMar>
            <w:vAlign w:val="center"/>
          </w:tcPr>
          <w:p>
            <w:pPr>
              <w:keepLines/>
              <w:spacing w:after="0" w:line="240" w:lineRule="auto"/>
              <w:jc w:val="left"/>
            </w:pPr>
            <w:r>
              <w:rPr>
                <w:rFonts w:ascii="Aptos" w:hAnsi="Aptos"/>
                <w:sz w:val="17"/>
              </w:rPr>
              <w:t>v</w:t>
            </w:r>
          </w:p>
        </w:tc>
        <w:tc>
          <w:tcPr>
            <w:tcW w:type="dxa" w:w="1584"/>
            <w:shd w:fill="F2F6FA"/>
            <w:tcMar>
              <w:top w:w="80" w:type="dxa"/>
              <w:start w:w="90" w:type="dxa"/>
              <w:bottom w:w="80" w:type="dxa"/>
              <w:end w:w="90" w:type="dxa"/>
            </w:tcMar>
            <w:vAlign w:val="center"/>
          </w:tcPr>
          <w:p>
            <w:pPr>
              <w:keepLines/>
              <w:spacing w:after="0" w:line="240" w:lineRule="auto"/>
              <w:jc w:val="center"/>
            </w:pPr>
            <w:r>
              <w:rPr>
                <w:rFonts w:ascii="Aptos" w:hAnsi="Aptos"/>
                <w:sz w:val="17"/>
              </w:rPr>
              <w:t>0.146</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7"/>
              </w:rPr>
              <w:t>0.144 to 0.147</w:t>
            </w:r>
          </w:p>
        </w:tc>
        <w:tc>
          <w:tcPr>
            <w:tcW w:type="dxa" w:w="4320"/>
            <w:shd w:fill="F2F6FA"/>
            <w:tcMar>
              <w:top w:w="80" w:type="dxa"/>
              <w:start w:w="90" w:type="dxa"/>
              <w:bottom w:w="80" w:type="dxa"/>
              <w:end w:w="90" w:type="dxa"/>
            </w:tcMar>
            <w:vAlign w:val="center"/>
          </w:tcPr>
          <w:p>
            <w:pPr>
              <w:keepLines/>
              <w:spacing w:after="0" w:line="240" w:lineRule="auto"/>
              <w:jc w:val="center"/>
            </w:pPr>
            <w:r>
              <w:rPr>
                <w:rFonts w:ascii="Aptos" w:hAnsi="Aptos"/>
                <w:sz w:val="17"/>
              </w:rPr>
              <w:t>Best group; tied with i</w:t>
            </w:r>
          </w:p>
        </w:tc>
      </w:tr>
      <w:tr>
        <w:trPr>
          <w:cantSplit w:val="true"/>
        </w:trPr>
        <w:tc>
          <w:tcPr>
            <w:tcW w:type="dxa" w:w="1080"/>
            <w:tcMar>
              <w:top w:w="80" w:type="dxa"/>
              <w:start w:w="90" w:type="dxa"/>
              <w:bottom w:w="80" w:type="dxa"/>
              <w:end w:w="90" w:type="dxa"/>
            </w:tcMar>
            <w:vAlign w:val="center"/>
          </w:tcPr>
          <w:p>
            <w:pPr>
              <w:keepLines/>
              <w:spacing w:after="0" w:line="240" w:lineRule="auto"/>
              <w:jc w:val="left"/>
            </w:pPr>
            <w:r>
              <w:rPr>
                <w:rFonts w:ascii="Aptos" w:hAnsi="Aptos"/>
                <w:sz w:val="17"/>
              </w:rPr>
              <w:t>iv</w:t>
            </w:r>
          </w:p>
        </w:tc>
        <w:tc>
          <w:tcPr>
            <w:tcW w:type="dxa" w:w="1584"/>
            <w:tcMar>
              <w:top w:w="80" w:type="dxa"/>
              <w:start w:w="90" w:type="dxa"/>
              <w:bottom w:w="80" w:type="dxa"/>
              <w:end w:w="90" w:type="dxa"/>
            </w:tcMar>
            <w:vAlign w:val="center"/>
          </w:tcPr>
          <w:p>
            <w:pPr>
              <w:keepLines/>
              <w:spacing w:after="0" w:line="240" w:lineRule="auto"/>
              <w:jc w:val="center"/>
            </w:pPr>
            <w:r>
              <w:rPr>
                <w:rFonts w:ascii="Aptos" w:hAnsi="Aptos"/>
                <w:sz w:val="17"/>
              </w:rPr>
              <w:t>0.155</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7"/>
              </w:rPr>
              <w:t>0.154 to 0.157</w:t>
            </w:r>
          </w:p>
        </w:tc>
        <w:tc>
          <w:tcPr>
            <w:tcW w:type="dxa" w:w="4320"/>
            <w:tcMar>
              <w:top w:w="80" w:type="dxa"/>
              <w:start w:w="90" w:type="dxa"/>
              <w:bottom w:w="80" w:type="dxa"/>
              <w:end w:w="90" w:type="dxa"/>
            </w:tcMar>
            <w:vAlign w:val="center"/>
          </w:tcPr>
          <w:p>
            <w:pPr>
              <w:keepLines/>
              <w:spacing w:after="0" w:line="240" w:lineRule="auto"/>
              <w:jc w:val="center"/>
            </w:pPr>
            <w:r>
              <w:rPr>
                <w:rFonts w:ascii="Aptos" w:hAnsi="Aptos"/>
                <w:sz w:val="17"/>
              </w:rPr>
              <w:t>Intermediate; slightly better than iii</w:t>
            </w:r>
          </w:p>
        </w:tc>
      </w:tr>
      <w:tr>
        <w:trPr>
          <w:cantSplit w:val="true"/>
        </w:trPr>
        <w:tc>
          <w:tcPr>
            <w:tcW w:type="dxa" w:w="1080"/>
            <w:shd w:fill="F2F6FA"/>
            <w:tcMar>
              <w:top w:w="80" w:type="dxa"/>
              <w:start w:w="90" w:type="dxa"/>
              <w:bottom w:w="80" w:type="dxa"/>
              <w:end w:w="90" w:type="dxa"/>
            </w:tcMar>
            <w:vAlign w:val="center"/>
          </w:tcPr>
          <w:p>
            <w:pPr>
              <w:keepLines/>
              <w:spacing w:after="0" w:line="240" w:lineRule="auto"/>
              <w:jc w:val="left"/>
            </w:pPr>
            <w:r>
              <w:rPr>
                <w:rFonts w:ascii="Aptos" w:hAnsi="Aptos"/>
                <w:sz w:val="17"/>
              </w:rPr>
              <w:t>iii</w:t>
            </w:r>
          </w:p>
        </w:tc>
        <w:tc>
          <w:tcPr>
            <w:tcW w:type="dxa" w:w="1584"/>
            <w:shd w:fill="F2F6FA"/>
            <w:tcMar>
              <w:top w:w="80" w:type="dxa"/>
              <w:start w:w="90" w:type="dxa"/>
              <w:bottom w:w="80" w:type="dxa"/>
              <w:end w:w="90" w:type="dxa"/>
            </w:tcMar>
            <w:vAlign w:val="center"/>
          </w:tcPr>
          <w:p>
            <w:pPr>
              <w:keepLines/>
              <w:spacing w:after="0" w:line="240" w:lineRule="auto"/>
              <w:jc w:val="center"/>
            </w:pPr>
            <w:r>
              <w:rPr>
                <w:rFonts w:ascii="Aptos" w:hAnsi="Aptos"/>
                <w:sz w:val="17"/>
              </w:rPr>
              <w:t>0.157</w:t>
            </w:r>
          </w:p>
        </w:tc>
        <w:tc>
          <w:tcPr>
            <w:tcW w:type="dxa" w:w="2232"/>
            <w:shd w:fill="F2F6FA"/>
            <w:tcMar>
              <w:top w:w="80" w:type="dxa"/>
              <w:start w:w="90" w:type="dxa"/>
              <w:bottom w:w="80" w:type="dxa"/>
              <w:end w:w="90" w:type="dxa"/>
            </w:tcMar>
            <w:vAlign w:val="center"/>
          </w:tcPr>
          <w:p>
            <w:pPr>
              <w:keepLines/>
              <w:spacing w:after="0" w:line="240" w:lineRule="auto"/>
              <w:jc w:val="center"/>
            </w:pPr>
            <w:r>
              <w:rPr>
                <w:rFonts w:ascii="Aptos" w:hAnsi="Aptos"/>
                <w:sz w:val="17"/>
              </w:rPr>
              <w:t>0.156 to 0.159</w:t>
            </w:r>
          </w:p>
        </w:tc>
        <w:tc>
          <w:tcPr>
            <w:tcW w:type="dxa" w:w="4320"/>
            <w:shd w:fill="F2F6FA"/>
            <w:tcMar>
              <w:top w:w="80" w:type="dxa"/>
              <w:start w:w="90" w:type="dxa"/>
              <w:bottom w:w="80" w:type="dxa"/>
              <w:end w:w="90" w:type="dxa"/>
            </w:tcMar>
            <w:vAlign w:val="center"/>
          </w:tcPr>
          <w:p>
            <w:pPr>
              <w:keepLines/>
              <w:spacing w:after="0" w:line="240" w:lineRule="auto"/>
              <w:jc w:val="center"/>
            </w:pPr>
            <w:r>
              <w:rPr>
                <w:rFonts w:ascii="Aptos" w:hAnsi="Aptos"/>
                <w:sz w:val="17"/>
              </w:rPr>
              <w:t>Intermediate</w:t>
            </w:r>
          </w:p>
        </w:tc>
      </w:tr>
      <w:tr>
        <w:trPr>
          <w:cantSplit w:val="true"/>
        </w:trPr>
        <w:tc>
          <w:tcPr>
            <w:tcW w:type="dxa" w:w="1080"/>
            <w:tcMar>
              <w:top w:w="80" w:type="dxa"/>
              <w:start w:w="90" w:type="dxa"/>
              <w:bottom w:w="80" w:type="dxa"/>
              <w:end w:w="90" w:type="dxa"/>
            </w:tcMar>
            <w:vAlign w:val="center"/>
          </w:tcPr>
          <w:p>
            <w:pPr>
              <w:keepLines/>
              <w:spacing w:after="0" w:line="240" w:lineRule="auto"/>
              <w:jc w:val="left"/>
            </w:pPr>
            <w:r>
              <w:rPr>
                <w:rFonts w:ascii="Aptos" w:hAnsi="Aptos"/>
                <w:sz w:val="17"/>
              </w:rPr>
              <w:t>ii</w:t>
            </w:r>
          </w:p>
        </w:tc>
        <w:tc>
          <w:tcPr>
            <w:tcW w:type="dxa" w:w="1584"/>
            <w:tcMar>
              <w:top w:w="80" w:type="dxa"/>
              <w:start w:w="90" w:type="dxa"/>
              <w:bottom w:w="80" w:type="dxa"/>
              <w:end w:w="90" w:type="dxa"/>
            </w:tcMar>
            <w:vAlign w:val="center"/>
          </w:tcPr>
          <w:p>
            <w:pPr>
              <w:keepLines/>
              <w:spacing w:after="0" w:line="240" w:lineRule="auto"/>
              <w:jc w:val="center"/>
            </w:pPr>
            <w:r>
              <w:rPr>
                <w:rFonts w:ascii="Aptos" w:hAnsi="Aptos"/>
                <w:sz w:val="17"/>
              </w:rPr>
              <w:t>0.184</w:t>
            </w:r>
          </w:p>
        </w:tc>
        <w:tc>
          <w:tcPr>
            <w:tcW w:type="dxa" w:w="2232"/>
            <w:tcMar>
              <w:top w:w="80" w:type="dxa"/>
              <w:start w:w="90" w:type="dxa"/>
              <w:bottom w:w="80" w:type="dxa"/>
              <w:end w:w="90" w:type="dxa"/>
            </w:tcMar>
            <w:vAlign w:val="center"/>
          </w:tcPr>
          <w:p>
            <w:pPr>
              <w:keepLines/>
              <w:spacing w:after="0" w:line="240" w:lineRule="auto"/>
              <w:jc w:val="center"/>
            </w:pPr>
            <w:r>
              <w:rPr>
                <w:rFonts w:ascii="Aptos" w:hAnsi="Aptos"/>
                <w:sz w:val="17"/>
              </w:rPr>
              <w:t>0.183 to 0.186</w:t>
            </w:r>
          </w:p>
        </w:tc>
        <w:tc>
          <w:tcPr>
            <w:tcW w:type="dxa" w:w="4320"/>
            <w:tcMar>
              <w:top w:w="80" w:type="dxa"/>
              <w:start w:w="90" w:type="dxa"/>
              <w:bottom w:w="80" w:type="dxa"/>
              <w:end w:w="90" w:type="dxa"/>
            </w:tcMar>
            <w:vAlign w:val="center"/>
          </w:tcPr>
          <w:p>
            <w:pPr>
              <w:keepLines/>
              <w:spacing w:after="0" w:line="240" w:lineRule="auto"/>
              <w:jc w:val="center"/>
            </w:pPr>
            <w:r>
              <w:rPr>
                <w:rFonts w:ascii="Aptos" w:hAnsi="Aptos"/>
                <w:sz w:val="17"/>
              </w:rPr>
              <w:t>Worst overall</w:t>
            </w:r>
          </w:p>
        </w:tc>
      </w:tr>
    </w:tbl>
    <w:p>
      <w:pPr>
        <w:spacing w:after="20"/>
      </w:pPr>
    </w:p>
    <w:p>
      <w:pPr>
        <w:pStyle w:val="Heading2"/>
      </w:pPr>
      <w:r>
        <w:t>Metric specific performance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1440"/>
            <w:shd w:fill="1F4E78"/>
            <w:tcMar>
              <w:top w:w="80" w:type="dxa"/>
              <w:start w:w="90" w:type="dxa"/>
              <w:bottom w:w="80" w:type="dxa"/>
              <w:end w:w="90" w:type="dxa"/>
            </w:tcMar>
            <w:vAlign w:val="center"/>
          </w:tcPr>
          <w:p>
            <w:pPr>
              <w:jc w:val="center"/>
            </w:pPr>
            <w:r>
              <w:rPr>
                <w:rFonts w:ascii="Aptos" w:hAnsi="Aptos"/>
                <w:b/>
                <w:color w:val="FFFFFF"/>
                <w:sz w:val="16"/>
              </w:rPr>
              <w:t>Metric</w:t>
            </w:r>
          </w:p>
        </w:tc>
        <w:tc>
          <w:tcPr>
            <w:tcW w:type="dxa" w:w="4608"/>
            <w:shd w:fill="1F4E78"/>
            <w:tcMar>
              <w:top w:w="80" w:type="dxa"/>
              <w:start w:w="90" w:type="dxa"/>
              <w:bottom w:w="80" w:type="dxa"/>
              <w:end w:w="90" w:type="dxa"/>
            </w:tcMar>
            <w:vAlign w:val="center"/>
          </w:tcPr>
          <w:p>
            <w:pPr>
              <w:jc w:val="center"/>
            </w:pPr>
            <w:r>
              <w:rPr>
                <w:rFonts w:ascii="Aptos" w:hAnsi="Aptos"/>
                <w:b/>
                <w:color w:val="FFFFFF"/>
                <w:sz w:val="16"/>
              </w:rPr>
              <w:t>Best to worst EMM ordering</w:t>
            </w:r>
          </w:p>
        </w:tc>
        <w:tc>
          <w:tcPr>
            <w:tcW w:type="dxa" w:w="3816"/>
            <w:shd w:fill="1F4E78"/>
            <w:tcMar>
              <w:top w:w="80" w:type="dxa"/>
              <w:start w:w="90" w:type="dxa"/>
              <w:bottom w:w="80" w:type="dxa"/>
              <w:end w:w="90" w:type="dxa"/>
            </w:tcMar>
            <w:vAlign w:val="center"/>
          </w:tcPr>
          <w:p>
            <w:pPr>
              <w:jc w:val="center"/>
            </w:pPr>
            <w:r>
              <w:rPr>
                <w:rFonts w:ascii="Aptos" w:hAnsi="Aptos"/>
                <w:b/>
                <w:color w:val="FFFFFF"/>
                <w:sz w:val="16"/>
              </w:rPr>
              <w:t>Key Holm adjusted comparisons</w:t>
            </w:r>
          </w:p>
        </w:tc>
      </w:tr>
      <w:tr>
        <w:trPr>
          <w:cantSplit w:val="true"/>
        </w:trPr>
        <w:tc>
          <w:tcPr>
            <w:tcW w:type="dxa" w:w="1440"/>
            <w:tcMar>
              <w:top w:w="80" w:type="dxa"/>
              <w:start w:w="90" w:type="dxa"/>
              <w:bottom w:w="80" w:type="dxa"/>
              <w:end w:w="90" w:type="dxa"/>
            </w:tcMar>
            <w:vAlign w:val="center"/>
          </w:tcPr>
          <w:p>
            <w:pPr>
              <w:keepLines/>
              <w:spacing w:after="0" w:line="240" w:lineRule="auto"/>
              <w:jc w:val="left"/>
            </w:pPr>
            <w:r>
              <w:rPr>
                <w:rFonts w:ascii="Aptos" w:hAnsi="Aptos"/>
                <w:sz w:val="16"/>
              </w:rPr>
              <w:t>RMSE</w:t>
            </w:r>
          </w:p>
        </w:tc>
        <w:tc>
          <w:tcPr>
            <w:tcW w:type="dxa" w:w="4608"/>
            <w:tcMar>
              <w:top w:w="80" w:type="dxa"/>
              <w:start w:w="90" w:type="dxa"/>
              <w:bottom w:w="80" w:type="dxa"/>
              <w:end w:w="90" w:type="dxa"/>
            </w:tcMar>
            <w:vAlign w:val="center"/>
          </w:tcPr>
          <w:p>
            <w:pPr>
              <w:keepLines/>
              <w:spacing w:after="0" w:line="240" w:lineRule="auto"/>
              <w:jc w:val="left"/>
            </w:pPr>
            <w:r>
              <w:rPr>
                <w:rFonts w:ascii="Aptos" w:hAnsi="Aptos"/>
                <w:sz w:val="16"/>
              </w:rPr>
              <w:t>i 0.0635 &lt; v 0.0681 &lt; iv 0.0753 &lt; iii 0.0783 &lt; ii 0.0953</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All ten method pairs differ; i is uniquely best</w:t>
            </w:r>
          </w:p>
        </w:tc>
      </w:tr>
      <w:tr>
        <w:trPr>
          <w:cantSplit w:val="true"/>
        </w:trPr>
        <w:tc>
          <w:tcPr>
            <w:tcW w:type="dxa" w:w="1440"/>
            <w:shd w:fill="F2F6FA"/>
            <w:tcMar>
              <w:top w:w="80" w:type="dxa"/>
              <w:start w:w="90" w:type="dxa"/>
              <w:bottom w:w="80" w:type="dxa"/>
              <w:end w:w="90" w:type="dxa"/>
            </w:tcMar>
            <w:vAlign w:val="center"/>
          </w:tcPr>
          <w:p>
            <w:pPr>
              <w:keepLines/>
              <w:spacing w:after="0" w:line="240" w:lineRule="auto"/>
              <w:jc w:val="left"/>
            </w:pPr>
            <w:r>
              <w:rPr>
                <w:rFonts w:ascii="Aptos" w:hAnsi="Aptos"/>
                <w:sz w:val="16"/>
              </w:rPr>
              <w:t>L1</w:t>
            </w:r>
          </w:p>
        </w:tc>
        <w:tc>
          <w:tcPr>
            <w:tcW w:type="dxa" w:w="4608"/>
            <w:shd w:fill="F2F6FA"/>
            <w:tcMar>
              <w:top w:w="80" w:type="dxa"/>
              <w:start w:w="90" w:type="dxa"/>
              <w:bottom w:w="80" w:type="dxa"/>
              <w:end w:w="90" w:type="dxa"/>
            </w:tcMar>
            <w:vAlign w:val="center"/>
          </w:tcPr>
          <w:p>
            <w:pPr>
              <w:keepLines/>
              <w:spacing w:after="0" w:line="240" w:lineRule="auto"/>
              <w:jc w:val="left"/>
            </w:pPr>
            <w:r>
              <w:rPr>
                <w:rFonts w:ascii="Aptos" w:hAnsi="Aptos"/>
                <w:sz w:val="16"/>
              </w:rPr>
              <w:t>v 0.2575 &lt; i 0.2596 &lt; iii 0.2709 approximately iv 0.2713 &lt; ii 0.3113</w:t>
            </w:r>
          </w:p>
        </w:tc>
        <w:tc>
          <w:tcPr>
            <w:tcW w:type="dxa" w:w="3816"/>
            <w:shd w:fill="F2F6FA"/>
            <w:tcMar>
              <w:top w:w="80" w:type="dxa"/>
              <w:start w:w="90" w:type="dxa"/>
              <w:bottom w:w="80" w:type="dxa"/>
              <w:end w:w="90" w:type="dxa"/>
            </w:tcMar>
            <w:vAlign w:val="center"/>
          </w:tcPr>
          <w:p>
            <w:pPr>
              <w:keepLines/>
              <w:spacing w:after="0" w:line="240" w:lineRule="auto"/>
              <w:jc w:val="left"/>
            </w:pPr>
            <w:r>
              <w:rPr>
                <w:rFonts w:ascii="Aptos" w:hAnsi="Aptos"/>
                <w:sz w:val="16"/>
              </w:rPr>
              <w:t>v beats i (p = 0.0213); iii and iv tie (p = 0.6398)</w:t>
            </w:r>
          </w:p>
        </w:tc>
      </w:tr>
      <w:tr>
        <w:trPr>
          <w:cantSplit w:val="true"/>
        </w:trPr>
        <w:tc>
          <w:tcPr>
            <w:tcW w:type="dxa" w:w="1440"/>
            <w:tcMar>
              <w:top w:w="80" w:type="dxa"/>
              <w:start w:w="90" w:type="dxa"/>
              <w:bottom w:w="80" w:type="dxa"/>
              <w:end w:w="90" w:type="dxa"/>
            </w:tcMar>
            <w:vAlign w:val="center"/>
          </w:tcPr>
          <w:p>
            <w:pPr>
              <w:keepLines/>
              <w:spacing w:after="0" w:line="240" w:lineRule="auto"/>
              <w:jc w:val="left"/>
            </w:pPr>
            <w:r>
              <w:rPr>
                <w:rFonts w:ascii="Aptos" w:hAnsi="Aptos"/>
                <w:sz w:val="16"/>
              </w:rPr>
              <w:t>L infinity</w:t>
            </w:r>
          </w:p>
        </w:tc>
        <w:tc>
          <w:tcPr>
            <w:tcW w:type="dxa" w:w="4608"/>
            <w:tcMar>
              <w:top w:w="80" w:type="dxa"/>
              <w:start w:w="90" w:type="dxa"/>
              <w:bottom w:w="80" w:type="dxa"/>
              <w:end w:w="90" w:type="dxa"/>
            </w:tcMar>
            <w:vAlign w:val="center"/>
          </w:tcPr>
          <w:p>
            <w:pPr>
              <w:keepLines/>
              <w:spacing w:after="0" w:line="240" w:lineRule="auto"/>
              <w:jc w:val="left"/>
            </w:pPr>
            <w:r>
              <w:rPr>
                <w:rFonts w:ascii="Aptos" w:hAnsi="Aptos"/>
                <w:sz w:val="16"/>
              </w:rPr>
              <w:t>i 0.1100 approximately v 0.1113 &lt; iv 0.1199 &lt; iii 0.1226 &lt; ii 0.1459</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i and v tie (p = 0.1067); iv beats iii (p = 0.0025)</w:t>
            </w:r>
          </w:p>
        </w:tc>
      </w:tr>
    </w:tbl>
    <w:p>
      <w:pPr>
        <w:spacing w:after="20"/>
      </w:pPr>
    </w:p>
    <w:p>
      <w:r>
        <w:t>The method-by-metric interaction is visible in two crossovers. First, i is better than v for RMSE, v is better than i for L1, and they tie for L-infinity. Second, iv is better than iii for RMSE and L-infinity, but the two are indistinguishable for L1. Method ii is the only method with an unambiguous position across all three metrics: it is significantly worst in every case.</w:t>
      </w:r>
    </w:p>
    <w:p>
      <w:pPr>
        <w:pStyle w:val="Heading2"/>
      </w:pPr>
      <w:r>
        <w:t>Robust and specialized methods</w:t>
      </w:r>
    </w:p>
    <w:p>
      <w:r>
        <w:t>Method i is the strongest general choice when squared-error control and resistance to increasing sigma are priorities. Method v is also globally superior, provides the lowest L1 error, remains tied with i for L-infinity, and responds strongly to increased sample size. Together, i and v are the most broadly robust methods supported by the reported EMMs and coefficient patterns.</w:t>
      </w:r>
    </w:p>
    <w:p>
      <w:r>
        <w:t>Method ii is specialized: it has the highest error globally and for every metric at the reference condition, and it is most sensitive to increasing sigma. It nevertheless gains the most as G and theta_true increase, so its disadvantage can narrow in favorable settings. Methods iii and iv are intermediate; iv is usually preferable, especially for RMSE and L-infinity, while the two are equivalent for L1.</w:t>
      </w:r>
    </w:p>
    <w:p>
      <w:r>
        <w:t>Because interactions with sigma, G, sample size, theta_true, and design block are significant, the available output does not prove that any ranking holds at every factor combination. Formal claims of uniform robustness would require method-by-factor EMM grids and adjusted simple-effects contrasts. The present evidence supports broad rather than universal robustness for i and v.</w:t>
      </w:r>
    </w:p>
    <w:p>
      <w:pPr>
        <w:pStyle w:val="Heading1"/>
      </w:pPr>
      <w:r>
        <w:t>4 Hierarchical context and random effects</w:t>
      </w:r>
    </w:p>
    <w:p>
      <w:r>
        <w:t>The simplex random-intercept variance is 0.0005266 (SD = 0.02295), compared with residual variance 0.0069780 (SD = 0.08353). The implied intraclass correlation is 0.0005266 divided by the sum of these variances, approximately 0.070. Thus, about 7.0% of the conditional variance is attributable to persistent differences among simplex environments, while about 93.0% remains at the cell or residual level after fixed effects.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3168"/>
            <w:shd w:fill="1F4E78"/>
            <w:tcMar>
              <w:top w:w="80" w:type="dxa"/>
              <w:start w:w="90" w:type="dxa"/>
              <w:bottom w:w="80" w:type="dxa"/>
              <w:end w:w="90" w:type="dxa"/>
            </w:tcMar>
            <w:vAlign w:val="center"/>
          </w:tcPr>
          <w:p>
            <w:pPr>
              <w:jc w:val="center"/>
            </w:pPr>
            <w:r>
              <w:rPr>
                <w:rFonts w:ascii="Aptos" w:hAnsi="Aptos"/>
                <w:b/>
                <w:color w:val="FFFFFF"/>
                <w:sz w:val="17"/>
              </w:rPr>
              <w:t>Variance component</w:t>
            </w:r>
          </w:p>
        </w:tc>
        <w:tc>
          <w:tcPr>
            <w:tcW w:type="dxa" w:w="1800"/>
            <w:shd w:fill="1F4E78"/>
            <w:tcMar>
              <w:top w:w="80" w:type="dxa"/>
              <w:start w:w="90" w:type="dxa"/>
              <w:bottom w:w="80" w:type="dxa"/>
              <w:end w:w="90" w:type="dxa"/>
            </w:tcMar>
            <w:vAlign w:val="center"/>
          </w:tcPr>
          <w:p>
            <w:pPr>
              <w:jc w:val="center"/>
            </w:pPr>
            <w:r>
              <w:rPr>
                <w:rFonts w:ascii="Aptos" w:hAnsi="Aptos"/>
                <w:b/>
                <w:color w:val="FFFFFF"/>
                <w:sz w:val="17"/>
              </w:rPr>
              <w:t>Variance</w:t>
            </w:r>
          </w:p>
        </w:tc>
        <w:tc>
          <w:tcPr>
            <w:tcW w:type="dxa" w:w="1584"/>
            <w:shd w:fill="1F4E78"/>
            <w:tcMar>
              <w:top w:w="80" w:type="dxa"/>
              <w:start w:w="90" w:type="dxa"/>
              <w:bottom w:w="80" w:type="dxa"/>
              <w:end w:w="90" w:type="dxa"/>
            </w:tcMar>
            <w:vAlign w:val="center"/>
          </w:tcPr>
          <w:p>
            <w:pPr>
              <w:jc w:val="center"/>
            </w:pPr>
            <w:r>
              <w:rPr>
                <w:rFonts w:ascii="Aptos" w:hAnsi="Aptos"/>
                <w:b/>
                <w:color w:val="FFFFFF"/>
                <w:sz w:val="17"/>
              </w:rPr>
              <w:t>SD</w:t>
            </w:r>
          </w:p>
        </w:tc>
        <w:tc>
          <w:tcPr>
            <w:tcW w:type="dxa" w:w="3384"/>
            <w:shd w:fill="1F4E78"/>
            <w:tcMar>
              <w:top w:w="80" w:type="dxa"/>
              <w:start w:w="90" w:type="dxa"/>
              <w:bottom w:w="80" w:type="dxa"/>
              <w:end w:w="90" w:type="dxa"/>
            </w:tcMar>
            <w:vAlign w:val="center"/>
          </w:tcPr>
          <w:p>
            <w:pPr>
              <w:jc w:val="center"/>
            </w:pPr>
            <w:r>
              <w:rPr>
                <w:rFonts w:ascii="Aptos" w:hAnsi="Aptos"/>
                <w:b/>
                <w:color w:val="FFFFFF"/>
                <w:sz w:val="17"/>
              </w:rPr>
              <w:t>Share of conditional variance</w:t>
            </w:r>
          </w:p>
        </w:tc>
      </w:tr>
      <w:tr>
        <w:trPr>
          <w:cantSplit w:val="true"/>
        </w:trPr>
        <w:tc>
          <w:tcPr>
            <w:tcW w:type="dxa" w:w="3168"/>
            <w:tcMar>
              <w:top w:w="80" w:type="dxa"/>
              <w:start w:w="90" w:type="dxa"/>
              <w:bottom w:w="80" w:type="dxa"/>
              <w:end w:w="90" w:type="dxa"/>
            </w:tcMar>
            <w:vAlign w:val="center"/>
          </w:tcPr>
          <w:p>
            <w:pPr>
              <w:keepLines/>
              <w:spacing w:after="0" w:line="240" w:lineRule="auto"/>
              <w:jc w:val="left"/>
            </w:pPr>
            <w:r>
              <w:rPr>
                <w:rFonts w:ascii="Aptos" w:hAnsi="Aptos"/>
                <w:sz w:val="17"/>
              </w:rPr>
              <w:t>simplex_id intercept</w:t>
            </w:r>
          </w:p>
        </w:tc>
        <w:tc>
          <w:tcPr>
            <w:tcW w:type="dxa" w:w="1800"/>
            <w:tcMar>
              <w:top w:w="80" w:type="dxa"/>
              <w:start w:w="90" w:type="dxa"/>
              <w:bottom w:w="80" w:type="dxa"/>
              <w:end w:w="90" w:type="dxa"/>
            </w:tcMar>
            <w:vAlign w:val="center"/>
          </w:tcPr>
          <w:p>
            <w:pPr>
              <w:keepLines/>
              <w:spacing w:after="0" w:line="240" w:lineRule="auto"/>
              <w:jc w:val="center"/>
            </w:pPr>
            <w:r>
              <w:rPr>
                <w:rFonts w:ascii="Aptos" w:hAnsi="Aptos"/>
                <w:sz w:val="17"/>
              </w:rPr>
              <w:t>0.0005266</w:t>
            </w:r>
          </w:p>
        </w:tc>
        <w:tc>
          <w:tcPr>
            <w:tcW w:type="dxa" w:w="1584"/>
            <w:tcMar>
              <w:top w:w="80" w:type="dxa"/>
              <w:start w:w="90" w:type="dxa"/>
              <w:bottom w:w="80" w:type="dxa"/>
              <w:end w:w="90" w:type="dxa"/>
            </w:tcMar>
            <w:vAlign w:val="center"/>
          </w:tcPr>
          <w:p>
            <w:pPr>
              <w:keepLines/>
              <w:spacing w:after="0" w:line="240" w:lineRule="auto"/>
              <w:jc w:val="center"/>
            </w:pPr>
            <w:r>
              <w:rPr>
                <w:rFonts w:ascii="Aptos" w:hAnsi="Aptos"/>
                <w:sz w:val="17"/>
              </w:rPr>
              <w:t>0.02295</w:t>
            </w:r>
          </w:p>
        </w:tc>
        <w:tc>
          <w:tcPr>
            <w:tcW w:type="dxa" w:w="3384"/>
            <w:tcMar>
              <w:top w:w="80" w:type="dxa"/>
              <w:start w:w="90" w:type="dxa"/>
              <w:bottom w:w="80" w:type="dxa"/>
              <w:end w:w="90" w:type="dxa"/>
            </w:tcMar>
            <w:vAlign w:val="center"/>
          </w:tcPr>
          <w:p>
            <w:pPr>
              <w:keepLines/>
              <w:spacing w:after="0" w:line="240" w:lineRule="auto"/>
              <w:jc w:val="center"/>
            </w:pPr>
            <w:r>
              <w:rPr>
                <w:rFonts w:ascii="Aptos" w:hAnsi="Aptos"/>
                <w:sz w:val="17"/>
              </w:rPr>
              <w:t>7.0 percent</w:t>
            </w:r>
          </w:p>
        </w:tc>
      </w:tr>
      <w:tr>
        <w:trPr>
          <w:cantSplit w:val="true"/>
        </w:trPr>
        <w:tc>
          <w:tcPr>
            <w:tcW w:type="dxa" w:w="3168"/>
            <w:shd w:fill="F2F6FA"/>
            <w:tcMar>
              <w:top w:w="80" w:type="dxa"/>
              <w:start w:w="90" w:type="dxa"/>
              <w:bottom w:w="80" w:type="dxa"/>
              <w:end w:w="90" w:type="dxa"/>
            </w:tcMar>
            <w:vAlign w:val="center"/>
          </w:tcPr>
          <w:p>
            <w:pPr>
              <w:keepLines/>
              <w:spacing w:after="0" w:line="240" w:lineRule="auto"/>
              <w:jc w:val="left"/>
            </w:pPr>
            <w:r>
              <w:rPr>
                <w:rFonts w:ascii="Aptos" w:hAnsi="Aptos"/>
                <w:sz w:val="17"/>
              </w:rPr>
              <w:t>Residual</w:t>
            </w:r>
          </w:p>
        </w:tc>
        <w:tc>
          <w:tcPr>
            <w:tcW w:type="dxa" w:w="1800"/>
            <w:shd w:fill="F2F6FA"/>
            <w:tcMar>
              <w:top w:w="80" w:type="dxa"/>
              <w:start w:w="90" w:type="dxa"/>
              <w:bottom w:w="80" w:type="dxa"/>
              <w:end w:w="90" w:type="dxa"/>
            </w:tcMar>
            <w:vAlign w:val="center"/>
          </w:tcPr>
          <w:p>
            <w:pPr>
              <w:keepLines/>
              <w:spacing w:after="0" w:line="240" w:lineRule="auto"/>
              <w:jc w:val="center"/>
            </w:pPr>
            <w:r>
              <w:rPr>
                <w:rFonts w:ascii="Aptos" w:hAnsi="Aptos"/>
                <w:sz w:val="17"/>
              </w:rPr>
              <w:t>0.0069780</w:t>
            </w:r>
          </w:p>
        </w:tc>
        <w:tc>
          <w:tcPr>
            <w:tcW w:type="dxa" w:w="1584"/>
            <w:shd w:fill="F2F6FA"/>
            <w:tcMar>
              <w:top w:w="80" w:type="dxa"/>
              <w:start w:w="90" w:type="dxa"/>
              <w:bottom w:w="80" w:type="dxa"/>
              <w:end w:w="90" w:type="dxa"/>
            </w:tcMar>
            <w:vAlign w:val="center"/>
          </w:tcPr>
          <w:p>
            <w:pPr>
              <w:keepLines/>
              <w:spacing w:after="0" w:line="240" w:lineRule="auto"/>
              <w:jc w:val="center"/>
            </w:pPr>
            <w:r>
              <w:rPr>
                <w:rFonts w:ascii="Aptos" w:hAnsi="Aptos"/>
                <w:sz w:val="17"/>
              </w:rPr>
              <w:t>0.08353</w:t>
            </w:r>
          </w:p>
        </w:tc>
        <w:tc>
          <w:tcPr>
            <w:tcW w:type="dxa" w:w="3384"/>
            <w:shd w:fill="F2F6FA"/>
            <w:tcMar>
              <w:top w:w="80" w:type="dxa"/>
              <w:start w:w="90" w:type="dxa"/>
              <w:bottom w:w="80" w:type="dxa"/>
              <w:end w:w="90" w:type="dxa"/>
            </w:tcMar>
            <w:vAlign w:val="center"/>
          </w:tcPr>
          <w:p>
            <w:pPr>
              <w:keepLines/>
              <w:spacing w:after="0" w:line="240" w:lineRule="auto"/>
              <w:jc w:val="center"/>
            </w:pPr>
            <w:r>
              <w:rPr>
                <w:rFonts w:ascii="Aptos" w:hAnsi="Aptos"/>
                <w:sz w:val="17"/>
              </w:rPr>
              <w:t>93.0 percent</w:t>
            </w:r>
          </w:p>
        </w:tc>
      </w:tr>
    </w:tbl>
    <w:p>
      <w:pPr>
        <w:spacing w:after="20"/>
      </w:pPr>
    </w:p>
    <w:p>
      <w:r>
        <w:t>The nonzero ICC justifies accounting for clustering and prevents simplex-level replication from being treated as fully independent. The model converged without optimizer warnings and was not singular, supporting numerical stability. However, a random intercept shifts all method-metric cells within a simplex together. It does not allow the method effect itself to vary by simplex_id. Therefore, these results show stable average rankings after controlling for simplex heterogeneity, but they cannot quantify how frequently rankings reverse among individual simplex environments. A random-slope extension for method, if computationally feasible, would address that question directly.</w:t>
      </w:r>
    </w:p>
    <w:p>
      <w:r>
        <w:t>The scaled residual maximum of 18.0 is also noteworthy. It indicates a pronounced upper tail or influential high-error cells despite the log1p transformation. Residual and influence diagnostics should accompany inferential conclusions, particularly because prior weights may give some aggregated cells substantial leverage.</w:t>
      </w:r>
    </w:p>
    <w:p>
      <w:pPr>
        <w:pStyle w:val="Heading1"/>
      </w:pPr>
      <w:r>
        <w:t>5 Proportion specific diagnostics</w:t>
      </w:r>
    </w:p>
    <w:p>
      <w:r>
        <w:t>Proportion estimates are bounded between zero and one and jointly constrained to the simplex. Component-level variances generally depend on the true proportions, and observations near zero or one can produce skewness, boundary mass, and unequal residual variance. Norm-based error summaries inherit these features: L-infinity is especially sensitive to a single extreme component, L1 accumulates absolute deviations, and RMSE emphasizes larger deviations. The highly significant metric and method-by-metric effects are therefore scientifically plausible rather than merely technical artifacts.</w:t>
      </w:r>
    </w:p>
    <w:p>
      <w:pPr>
        <w:pStyle w:val="Heading2"/>
      </w:pPr>
      <w:r>
        <w:t>Transformation context</w:t>
      </w:r>
    </w:p>
    <w:p>
      <w:r>
        <w:t>The fitted response is explicitly the cell mean of log1p accuracy, so the transformation is log(1 + error). This handles zero errors and compresses the long right tail. EMMs can be converted to the original error scale with exp(m) - 1, although response-scale means require care because transforming an expected log value does not generally equal the expected untransformed error. Bias-adjusted predictions or simulation from the fitted model are preferable when original-scale means are needed.</w:t>
      </w:r>
    </w:p>
    <w:p>
      <w:r>
        <w:t>Arcsine square-root and logit transformations apply to individual component proportions rather than to RMSE, L1, or L-infinity directly. The logit can improve modeling of interior proportions but requires explicit treatment of zeros and ones. For compositional vectors, additive, centered, or isometric log-ratio coordinates better respect simplex geometry, provided zero replacement is justified. These alternatives are useful as sensitivity analyses, not automatic replacements for the present log1p error model.</w:t>
      </w:r>
    </w:p>
    <w:p>
      <w:pPr>
        <w:pStyle w:val="Heading2"/>
      </w:pPr>
      <w:r>
        <w:t>Recommended diagnostics</w:t>
      </w:r>
    </w:p>
    <w:p>
      <w:pPr>
        <w:pStyle w:val="ListBullet"/>
        <w:spacing w:after="60"/>
      </w:pPr>
      <w:r>
        <w:t>Inspect conditional and marginal residual-versus-fitted plots by method, metric, sigma, G, and mean sample size.</w:t>
      </w:r>
    </w:p>
    <w:p>
      <w:pPr>
        <w:pStyle w:val="ListBullet"/>
        <w:spacing w:after="60"/>
      </w:pPr>
      <w:r>
        <w:t>Examine the extreme positive residuals and assess whether high-weight cells are influential.</w:t>
      </w:r>
    </w:p>
    <w:p>
      <w:pPr>
        <w:pStyle w:val="ListBullet"/>
        <w:spacing w:after="60"/>
      </w:pPr>
      <w:r>
        <w:t>Compare residual variance across metrics and methods; consider metric-specific residual variances if heteroscedasticity remains strong.</w:t>
      </w:r>
    </w:p>
    <w:p>
      <w:pPr>
        <w:pStyle w:val="ListBullet"/>
        <w:spacing w:after="60"/>
      </w:pPr>
      <w:r>
        <w:t>Fit method random slopes by simplex_id on a manageable subsample to quantify ranking stability across environments.</w:t>
      </w:r>
    </w:p>
    <w:p>
      <w:pPr>
        <w:pStyle w:val="ListBullet"/>
        <w:spacing w:after="60"/>
      </w:pPr>
      <w:r>
        <w:t>Generate response-scale EMMs with uncertainty using the exact log1p inverse transformation and an appropriate bias correction.</w:t>
      </w:r>
    </w:p>
    <w:p>
      <w:pPr>
        <w:pStyle w:val="Heading1"/>
      </w:pPr>
      <w:r>
        <w:t>6 Integrated summary of LMM ANOVA and EMM results</w:t>
      </w:r>
    </w:p>
    <w:p>
      <w:r>
        <w:t>The mixed-effects analysis provides decisive evidence that the five methods differ in estimation accuracy and that those differences depend on the error metric. The Type III method effect is large and highly significant, while the method-by-metric interaction confirms that no single numerical separation applies simultaneously to RMSE, L1, and L-infinity. Metric itself has the largest F statistic because the three norms represent different error constructs and scales.</w:t>
      </w:r>
    </w:p>
    <w:p>
      <w:r>
        <w:t>The experimental hierarchy is clear. G and sigma have by far the greatest influence on log1p accuracy, mean sample size is a distant third, and design block and theta_true form the next tier. Theta_CV is weak; p1 and p2 are nonsignificant. Method performance is most condition-dependent along sigma, followed by G, mean sample size, theta_true, and sampling-distribution block. Interactions with p1 and p2 provide no evidence of changing rankings.</w:t>
      </w:r>
    </w:p>
    <w:p>
      <w:r>
        <w:t>Globally, methods i and v are statistically tied and superior to the other three. Metric-specific results refine that conclusion: i is uniquely best for RMSE, v is best for L1, and they tie for L-infinity. Method iv generally outranks iii, except that they tie for L1. Method ii is worst for every metric at the reference condition. Directional coefficients indicate that i is least vulnerable to increasing sigma, v combines strong global performance with substantial gains from larger samples, and ii is specialized toward higher G and theta_true but deteriorates most under increasing sigma.</w:t>
      </w:r>
    </w:p>
    <w:p>
      <w:r>
        <w:t>The simplex hierarchy is meaningful but not dominant. Approximately 7% of conditional variance lies between simplex environments, so clustering must be modeled, yet most variation remains within simplex after fixed effects. Because only a random intercept was fitted, the strongest defensible conclusion is that i and v are robust on average across the sampled environments; uniform dominance at every factor level or simplex cannot be asserted without method-specific EMM grids and random slopes.</w:t>
      </w:r>
    </w:p>
    <w:p>
      <w:pPr>
        <w:pStyle w:val="Heading2"/>
      </w:pPr>
      <w:r>
        <w:t>Limitations and next analytical step</w:t>
      </w:r>
    </w:p>
    <w:p>
      <w:pPr>
        <w:pStyle w:val="ListBullet"/>
        <w:spacing w:after="60"/>
      </w:pPr>
      <w:r>
        <w:t>The model uses a reproducible sample of 20,000 complete simplex groups rather than the full reduced dataset.</w:t>
      </w:r>
    </w:p>
    <w:p>
      <w:pPr>
        <w:pStyle w:val="ListBullet"/>
        <w:spacing w:after="60"/>
      </w:pPr>
      <w:r>
        <w:t>The long-format model does not estimate a fully flexible residual covariance among the three metrics.</w:t>
      </w:r>
    </w:p>
    <w:p>
      <w:pPr>
        <w:pStyle w:val="ListBullet"/>
        <w:spacing w:after="60"/>
      </w:pPr>
      <w:r>
        <w:t>Global EMMs average equally over metrics but are evaluated at one reference combination of the experimental factors.</w:t>
      </w:r>
    </w:p>
    <w:p>
      <w:pPr>
        <w:pStyle w:val="ListBullet"/>
        <w:spacing w:after="60"/>
      </w:pPr>
      <w:r>
        <w:t>Significant method-by-factor interactions mean that global rankings may conceal crossovers.</w:t>
      </w:r>
    </w:p>
    <w:p>
      <w:pPr>
        <w:pStyle w:val="ListBullet"/>
        <w:spacing w:after="60"/>
      </w:pPr>
      <w:r>
        <w:t>The random-intercept structure does not measure simplex-specific variation in method rankings.</w:t>
      </w:r>
    </w:p>
    <w:p>
      <w:r>
        <w:t>The most informative follow-up is a set of method-by-sigma, method-by-G, and method-by-mean_nsamp EMM grids for each metric, with Holm-adjusted simple-effects contrasts and response-scale plots. A secondary model with method random slopes by simplex_id would quantify how often the average ranking changes across simulated composition environments.</w:t>
      </w:r>
    </w:p>
    <w:p>
      <w:pPr>
        <w:pStyle w:val="Heading1"/>
      </w:pPr>
      <w:r>
        <w:t>Source material</w:t>
      </w:r>
    </w:p>
    <w:p>
      <w:r>
        <w:t>results-code-B.txt. Code B memory-safe simplex random-effects analysis; run dated 26 September 2026 HST.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00"/>
    </w:pPr>
    <w:rPr>
      <w:rFonts w:ascii="Aptos" w:hAnsi="Aptos"/>
      <w:color w:val="000000"/>
      <w:sz w:val="23"/>
    </w:rPr>
  </w:style>
  <w:style w:type="paragraph" w:customStyle="1" w:styleId="TableNote">
    <w:name w:val="Table Note"/>
    <w:pPr>
      <w:spacing w:before="60" w:after="140"/>
    </w:pPr>
    <w:rPr>
      <w:rFonts w:ascii="Aptos" w:hAnsi="Aptos"/>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Mixed Effects Analysis of Proportion Estimation Accuracy</dc:title>
  <dc:subject>Linear mixed-effects model and estimated marginal means for five proportion estimation methods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