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Generalized Additive Model Analysis of Composition Likelihood Accuracy</w:t>
      </w:r>
    </w:p>
    <w:p>
      <w:pPr>
        <w:pStyle w:val="ReportSubtitle"/>
      </w:pPr>
      <w:r>
        <w:t>Method specific simplex surfaces diagnostics and comparison of five estimators</w:t>
      </w:r>
    </w:p>
    <w:p>
      <w:pPr>
        <w:pStyle w:val="ReportSubtitle"/>
      </w:pPr>
      <w:r>
        <w:t>Analysis of results code E and associated GAM diagnostic plots</w:t>
      </w:r>
    </w:p>
    <w:p>
      <w:pPr>
        <w:pStyle w:val="Heading1"/>
      </w:pPr>
      <w:r>
        <w:t>Purpose and principal conclusion</w:t>
      </w:r>
    </w:p>
    <w:p>
      <w:r>
        <w:t>This memorandum evaluates how the estimation accuracy of methods i through v changes over the compositional simplex and across the simulation design. The global generalized additive model uses 500,000 observations and explains 62.1% of deviance. It shows decisive effects of metric, method, G, sigma, mean sample size, theta_true, design block, and theta_CV, together with a significant metric-by-method interaction. Group size G and noise level sigma are the dominant experimental drivers. Method ii is consistently least accurate. Methods iii and v form the leading group, with iii favored for adjusted RMSE and v favored slightly for adjusted L1 and Linf at the model reference configuration.</w:t>
      </w:r>
    </w:p>
    <w:p>
      <w:r>
        <w:t>The two-dimensional p1-p2 surfaces reveal genuine method-specific morphology. Methods iv and v have nearly parallel smooth surfaces, method iii has a similar broad pattern with stronger decline toward high p1, method ii follows a comparatively simple diagonal gradient, and method i exhibits the most localized structure. The basis dimension k = 30 is adequate for every fitted smooth according to gam.check. This does not validate the Gaussian error model: both diagnostic panels show right-skewed residuals, strong heteroscedasticity, and influential upper-tail observations. Inferential p values should therefore be interpreted as descriptive evidence from a very large simulation sample and supplemented by robust or distributionally appropriate sensitivity fits.</w:t>
      </w:r>
    </w:p>
    <w:p>
      <w:r>
        <w:t>The targeted v-versus-iii model requires special care. Its response is log1p of the absolute method difference, not a signed log-ratio. It identifies where v and iii disagree most, but it cannot determine which method is superior in those regions. Disagreement is smallest across much of the central simplex and grows toward the high-p1 and high-p2 boundary, most strongly for L1, then Linf, and least for RMSE.</w:t>
      </w:r>
    </w:p>
    <w:p>
      <w:pPr>
        <w:pStyle w:val="Heading2"/>
      </w:pPr>
      <w:r>
        <w:t>Executive findings</w:t>
      </w:r>
    </w:p>
    <w:p>
      <w:pPr>
        <w:pStyle w:val="ListBullet"/>
        <w:spacing w:after="60"/>
      </w:pPr>
      <w:r>
        <w:t>The global GAM has adjusted R-squared 0.621 and 62.1% deviance explained; the v-versus-iii absolute-difference GAM has adjusted R-squared 0.390 and 39.1% deviance explained.</w:t>
      </w:r>
    </w:p>
    <w:p>
      <w:pPr>
        <w:pStyle w:val="ListBullet"/>
        <w:spacing w:after="60"/>
      </w:pPr>
      <w:r>
        <w:t>G is the largest experimental term by F statistic (90,046.7), closely followed by sigma (81,932.4). Mean_nsamp, theta_true, design block, and theta_CV follow in that order.</w:t>
      </w:r>
    </w:p>
    <w:p>
      <w:pPr>
        <w:pStyle w:val="ListBullet"/>
        <w:spacing w:after="60"/>
      </w:pPr>
      <w:r>
        <w:t>Metric, method, and metric-by-method are all highly significant. The leading adjusted method depends modestly on the error definition, while method ii remains last.</w:t>
      </w:r>
    </w:p>
    <w:p>
      <w:pPr>
        <w:pStyle w:val="ListBullet"/>
        <w:spacing w:after="60"/>
      </w:pPr>
      <w:r>
        <w:t>All global smooths have k-index 0.98 with p values 0.14 to 0.23 and effective degrees of freedom well below k-prime = 29. The chosen k is sufficient.</w:t>
      </w:r>
    </w:p>
    <w:p>
      <w:pPr>
        <w:pStyle w:val="ListBullet"/>
        <w:spacing w:after="60"/>
      </w:pPr>
      <w:r>
        <w:t>The difference-model k-indices are 1.04 with p values 0.83 to 0.87. L1 uses 26.2 of 29 available degrees of freedom, so a larger-k sensitivity fit is prudent even though the formal diagnostic is satisfactory.</w:t>
      </w:r>
    </w:p>
    <w:p>
      <w:pPr>
        <w:pStyle w:val="ListBullet"/>
        <w:spacing w:after="60"/>
      </w:pPr>
      <w:r>
        <w:t>Residual diagnostics are materially imperfect for both models. The global fit is especially affected by upper-tail nonnormality and fitted-value-dependent variance.</w:t>
      </w:r>
    </w:p>
    <w:p>
      <w:pPr>
        <w:pStyle w:val="Heading1"/>
      </w:pPr>
      <w:r>
        <w:t>Analytical specification and scale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232"/>
            <w:shd w:fill="1F4E78"/>
            <w:tcMar>
              <w:top w:w="85" w:type="dxa"/>
              <w:start w:w="95" w:type="dxa"/>
              <w:bottom w:w="85" w:type="dxa"/>
              <w:end w:w="95" w:type="dxa"/>
            </w:tcMar>
            <w:vAlign w:val="center"/>
          </w:tcPr>
          <w:p>
            <w:pPr>
              <w:jc w:val="center"/>
            </w:pPr>
            <w:r>
              <w:rPr>
                <w:rFonts w:ascii="Aptos" w:hAnsi="Aptos"/>
                <w:b/>
                <w:color w:val="FFFFFF"/>
                <w:sz w:val="16"/>
              </w:rPr>
              <w:t>Component</w:t>
            </w:r>
          </w:p>
        </w:tc>
        <w:tc>
          <w:tcPr>
            <w:tcW w:type="dxa" w:w="3888"/>
            <w:shd w:fill="1F4E78"/>
            <w:tcMar>
              <w:top w:w="85" w:type="dxa"/>
              <w:start w:w="95" w:type="dxa"/>
              <w:bottom w:w="85" w:type="dxa"/>
              <w:end w:w="95" w:type="dxa"/>
            </w:tcMar>
            <w:vAlign w:val="center"/>
          </w:tcPr>
          <w:p>
            <w:pPr>
              <w:jc w:val="center"/>
            </w:pPr>
            <w:r>
              <w:rPr>
                <w:rFonts w:ascii="Aptos" w:hAnsi="Aptos"/>
                <w:b/>
                <w:color w:val="FFFFFF"/>
                <w:sz w:val="16"/>
              </w:rPr>
              <w:t>Global GAM</w:t>
            </w:r>
          </w:p>
        </w:tc>
        <w:tc>
          <w:tcPr>
            <w:tcW w:type="dxa" w:w="3888"/>
            <w:shd w:fill="1F4E78"/>
            <w:tcMar>
              <w:top w:w="85" w:type="dxa"/>
              <w:start w:w="95" w:type="dxa"/>
              <w:bottom w:w="85" w:type="dxa"/>
              <w:end w:w="95" w:type="dxa"/>
            </w:tcMar>
            <w:vAlign w:val="center"/>
          </w:tcPr>
          <w:p>
            <w:pPr>
              <w:jc w:val="center"/>
            </w:pPr>
            <w:r>
              <w:rPr>
                <w:rFonts w:ascii="Aptos" w:hAnsi="Aptos"/>
                <w:b/>
                <w:color w:val="FFFFFF"/>
                <w:sz w:val="16"/>
              </w:rPr>
              <w:t>Difference GAM</w:t>
            </w:r>
          </w:p>
        </w:tc>
      </w:tr>
      <w:tr>
        <w:trPr>
          <w:cantSplit w:val="true"/>
        </w:trPr>
        <w:tc>
          <w:tcPr>
            <w:tcW w:type="dxa" w:w="2232"/>
            <w:tcMar>
              <w:top w:w="85" w:type="dxa"/>
              <w:start w:w="95" w:type="dxa"/>
              <w:bottom w:w="85" w:type="dxa"/>
              <w:end w:w="95" w:type="dxa"/>
            </w:tcMar>
            <w:vAlign w:val="center"/>
          </w:tcPr>
          <w:p>
            <w:pPr>
              <w:keepLines/>
              <w:spacing w:after="0" w:line="240" w:lineRule="auto"/>
              <w:jc w:val="left"/>
            </w:pPr>
            <w:r>
              <w:rPr>
                <w:rFonts w:ascii="Aptos" w:hAnsi="Aptos"/>
                <w:sz w:val="16"/>
              </w:rPr>
              <w:t>Rows analyzed</w:t>
            </w:r>
          </w:p>
        </w:tc>
        <w:tc>
          <w:tcPr>
            <w:tcW w:type="dxa" w:w="3888"/>
            <w:tcMar>
              <w:top w:w="85" w:type="dxa"/>
              <w:start w:w="95" w:type="dxa"/>
              <w:bottom w:w="85" w:type="dxa"/>
              <w:end w:w="95" w:type="dxa"/>
            </w:tcMar>
            <w:vAlign w:val="center"/>
          </w:tcPr>
          <w:p>
            <w:pPr>
              <w:keepLines/>
              <w:spacing w:after="0" w:line="240" w:lineRule="auto"/>
              <w:jc w:val="left"/>
            </w:pPr>
            <w:r>
              <w:rPr>
                <w:rFonts w:ascii="Aptos" w:hAnsi="Aptos"/>
                <w:sz w:val="16"/>
              </w:rPr>
              <w:t>500,000</w:t>
            </w:r>
          </w:p>
        </w:tc>
        <w:tc>
          <w:tcPr>
            <w:tcW w:type="dxa" w:w="3888"/>
            <w:tcMar>
              <w:top w:w="85" w:type="dxa"/>
              <w:start w:w="95" w:type="dxa"/>
              <w:bottom w:w="85" w:type="dxa"/>
              <w:end w:w="95" w:type="dxa"/>
            </w:tcMar>
            <w:vAlign w:val="center"/>
          </w:tcPr>
          <w:p>
            <w:pPr>
              <w:keepLines/>
              <w:spacing w:after="0" w:line="240" w:lineRule="auto"/>
              <w:jc w:val="left"/>
            </w:pPr>
            <w:r>
              <w:rPr>
                <w:rFonts w:ascii="Aptos" w:hAnsi="Aptos"/>
                <w:sz w:val="16"/>
              </w:rPr>
              <w:t>144,342</w:t>
            </w:r>
          </w:p>
        </w:tc>
      </w:tr>
      <w:tr>
        <w:trPr>
          <w:cantSplit w:val="true"/>
        </w:trPr>
        <w:tc>
          <w:tcPr>
            <w:tcW w:type="dxa" w:w="2232"/>
            <w:shd w:fill="F2F6FA"/>
            <w:tcMar>
              <w:top w:w="85" w:type="dxa"/>
              <w:start w:w="95" w:type="dxa"/>
              <w:bottom w:w="85" w:type="dxa"/>
              <w:end w:w="95" w:type="dxa"/>
            </w:tcMar>
            <w:vAlign w:val="center"/>
          </w:tcPr>
          <w:p>
            <w:pPr>
              <w:keepLines/>
              <w:spacing w:after="0" w:line="240" w:lineRule="auto"/>
              <w:jc w:val="left"/>
            </w:pPr>
            <w:r>
              <w:rPr>
                <w:rFonts w:ascii="Aptos" w:hAnsi="Aptos"/>
                <w:sz w:val="16"/>
              </w:rPr>
              <w:t>Response</w:t>
            </w:r>
          </w:p>
        </w:tc>
        <w:tc>
          <w:tcPr>
            <w:tcW w:type="dxa" w:w="3888"/>
            <w:shd w:fill="F2F6FA"/>
            <w:tcMar>
              <w:top w:w="85" w:type="dxa"/>
              <w:start w:w="95" w:type="dxa"/>
              <w:bottom w:w="85" w:type="dxa"/>
              <w:end w:w="95" w:type="dxa"/>
            </w:tcMar>
            <w:vAlign w:val="center"/>
          </w:tcPr>
          <w:p>
            <w:pPr>
              <w:keepLines/>
              <w:spacing w:after="0" w:line="240" w:lineRule="auto"/>
              <w:jc w:val="left"/>
            </w:pPr>
            <w:r>
              <w:rPr>
                <w:rFonts w:ascii="Aptos" w:hAnsi="Aptos"/>
                <w:sz w:val="16"/>
              </w:rPr>
              <w:t>log1p(accuracy)</w:t>
            </w:r>
          </w:p>
        </w:tc>
        <w:tc>
          <w:tcPr>
            <w:tcW w:type="dxa" w:w="3888"/>
            <w:shd w:fill="F2F6FA"/>
            <w:tcMar>
              <w:top w:w="85" w:type="dxa"/>
              <w:start w:w="95" w:type="dxa"/>
              <w:bottom w:w="85" w:type="dxa"/>
              <w:end w:w="95" w:type="dxa"/>
            </w:tcMar>
            <w:vAlign w:val="center"/>
          </w:tcPr>
          <w:p>
            <w:pPr>
              <w:keepLines/>
              <w:spacing w:after="0" w:line="240" w:lineRule="auto"/>
              <w:jc w:val="left"/>
            </w:pPr>
            <w:r>
              <w:rPr>
                <w:rFonts w:ascii="Aptos" w:hAnsi="Aptos"/>
                <w:sz w:val="16"/>
              </w:rPr>
              <w:t>log1p(abs(v minus iii difference))</w:t>
            </w:r>
          </w:p>
        </w:tc>
      </w:tr>
      <w:tr>
        <w:trPr>
          <w:cantSplit w:val="true"/>
        </w:trPr>
        <w:tc>
          <w:tcPr>
            <w:tcW w:type="dxa" w:w="2232"/>
            <w:tcMar>
              <w:top w:w="85" w:type="dxa"/>
              <w:start w:w="95" w:type="dxa"/>
              <w:bottom w:w="85" w:type="dxa"/>
              <w:end w:w="95" w:type="dxa"/>
            </w:tcMar>
            <w:vAlign w:val="center"/>
          </w:tcPr>
          <w:p>
            <w:pPr>
              <w:keepLines/>
              <w:spacing w:after="0" w:line="240" w:lineRule="auto"/>
              <w:jc w:val="left"/>
            </w:pPr>
            <w:r>
              <w:rPr>
                <w:rFonts w:ascii="Aptos" w:hAnsi="Aptos"/>
                <w:sz w:val="16"/>
              </w:rPr>
              <w:t>Smooths</w:t>
            </w:r>
          </w:p>
        </w:tc>
        <w:tc>
          <w:tcPr>
            <w:tcW w:type="dxa" w:w="3888"/>
            <w:tcMar>
              <w:top w:w="85" w:type="dxa"/>
              <w:start w:w="95" w:type="dxa"/>
              <w:bottom w:w="85" w:type="dxa"/>
              <w:end w:w="95" w:type="dxa"/>
            </w:tcMar>
            <w:vAlign w:val="center"/>
          </w:tcPr>
          <w:p>
            <w:pPr>
              <w:keepLines/>
              <w:spacing w:after="0" w:line="240" w:lineRule="auto"/>
              <w:jc w:val="left"/>
            </w:pPr>
            <w:r>
              <w:rPr>
                <w:rFonts w:ascii="Aptos" w:hAnsi="Aptos"/>
                <w:sz w:val="16"/>
              </w:rPr>
              <w:t>Separate p1-p2 surface by method</w:t>
            </w:r>
          </w:p>
        </w:tc>
        <w:tc>
          <w:tcPr>
            <w:tcW w:type="dxa" w:w="3888"/>
            <w:tcMar>
              <w:top w:w="85" w:type="dxa"/>
              <w:start w:w="95" w:type="dxa"/>
              <w:bottom w:w="85" w:type="dxa"/>
              <w:end w:w="95" w:type="dxa"/>
            </w:tcMar>
            <w:vAlign w:val="center"/>
          </w:tcPr>
          <w:p>
            <w:pPr>
              <w:keepLines/>
              <w:spacing w:after="0" w:line="240" w:lineRule="auto"/>
              <w:jc w:val="left"/>
            </w:pPr>
            <w:r>
              <w:rPr>
                <w:rFonts w:ascii="Aptos" w:hAnsi="Aptos"/>
                <w:sz w:val="16"/>
              </w:rPr>
              <w:t>Separate p1-p2 surface by metric</w:t>
            </w:r>
          </w:p>
        </w:tc>
      </w:tr>
      <w:tr>
        <w:trPr>
          <w:cantSplit w:val="true"/>
        </w:trPr>
        <w:tc>
          <w:tcPr>
            <w:tcW w:type="dxa" w:w="2232"/>
            <w:shd w:fill="F2F6FA"/>
            <w:tcMar>
              <w:top w:w="85" w:type="dxa"/>
              <w:start w:w="95" w:type="dxa"/>
              <w:bottom w:w="85" w:type="dxa"/>
              <w:end w:w="95" w:type="dxa"/>
            </w:tcMar>
            <w:vAlign w:val="center"/>
          </w:tcPr>
          <w:p>
            <w:pPr>
              <w:keepLines/>
              <w:spacing w:after="0" w:line="240" w:lineRule="auto"/>
              <w:jc w:val="left"/>
            </w:pPr>
            <w:r>
              <w:rPr>
                <w:rFonts w:ascii="Aptos" w:hAnsi="Aptos"/>
                <w:sz w:val="16"/>
              </w:rPr>
              <w:t>Basis</w:t>
            </w:r>
          </w:p>
        </w:tc>
        <w:tc>
          <w:tcPr>
            <w:tcW w:type="dxa" w:w="3888"/>
            <w:shd w:fill="F2F6FA"/>
            <w:tcMar>
              <w:top w:w="85" w:type="dxa"/>
              <w:start w:w="95" w:type="dxa"/>
              <w:bottom w:w="85" w:type="dxa"/>
              <w:end w:w="95" w:type="dxa"/>
            </w:tcMar>
            <w:vAlign w:val="center"/>
          </w:tcPr>
          <w:p>
            <w:pPr>
              <w:keepLines/>
              <w:spacing w:after="0" w:line="240" w:lineRule="auto"/>
              <w:jc w:val="left"/>
            </w:pPr>
            <w:r>
              <w:rPr>
                <w:rFonts w:ascii="Aptos" w:hAnsi="Aptos"/>
                <w:sz w:val="16"/>
              </w:rPr>
              <w:t>Thin plate regression spline k = 30</w:t>
            </w:r>
          </w:p>
        </w:tc>
        <w:tc>
          <w:tcPr>
            <w:tcW w:type="dxa" w:w="3888"/>
            <w:shd w:fill="F2F6FA"/>
            <w:tcMar>
              <w:top w:w="85" w:type="dxa"/>
              <w:start w:w="95" w:type="dxa"/>
              <w:bottom w:w="85" w:type="dxa"/>
              <w:end w:w="95" w:type="dxa"/>
            </w:tcMar>
            <w:vAlign w:val="center"/>
          </w:tcPr>
          <w:p>
            <w:pPr>
              <w:keepLines/>
              <w:spacing w:after="0" w:line="240" w:lineRule="auto"/>
              <w:jc w:val="left"/>
            </w:pPr>
            <w:r>
              <w:rPr>
                <w:rFonts w:ascii="Aptos" w:hAnsi="Aptos"/>
                <w:sz w:val="16"/>
              </w:rPr>
              <w:t>Thin plate regression spline k = 30</w:t>
            </w:r>
          </w:p>
        </w:tc>
      </w:tr>
      <w:tr>
        <w:trPr>
          <w:cantSplit w:val="true"/>
        </w:trPr>
        <w:tc>
          <w:tcPr>
            <w:tcW w:type="dxa" w:w="2232"/>
            <w:tcMar>
              <w:top w:w="85" w:type="dxa"/>
              <w:start w:w="95" w:type="dxa"/>
              <w:bottom w:w="85" w:type="dxa"/>
              <w:end w:w="95" w:type="dxa"/>
            </w:tcMar>
            <w:vAlign w:val="center"/>
          </w:tcPr>
          <w:p>
            <w:pPr>
              <w:keepLines/>
              <w:spacing w:after="0" w:line="240" w:lineRule="auto"/>
              <w:jc w:val="left"/>
            </w:pPr>
            <w:r>
              <w:rPr>
                <w:rFonts w:ascii="Aptos" w:hAnsi="Aptos"/>
                <w:sz w:val="16"/>
              </w:rPr>
              <w:t>Other terms</w:t>
            </w:r>
          </w:p>
        </w:tc>
        <w:tc>
          <w:tcPr>
            <w:tcW w:type="dxa" w:w="3888"/>
            <w:tcMar>
              <w:top w:w="85" w:type="dxa"/>
              <w:start w:w="95" w:type="dxa"/>
              <w:bottom w:w="85" w:type="dxa"/>
              <w:end w:w="95" w:type="dxa"/>
            </w:tcMar>
            <w:vAlign w:val="center"/>
          </w:tcPr>
          <w:p>
            <w:pPr>
              <w:keepLines/>
              <w:spacing w:after="0" w:line="240" w:lineRule="auto"/>
              <w:jc w:val="left"/>
            </w:pPr>
            <w:r>
              <w:rPr>
                <w:rFonts w:ascii="Aptos" w:hAnsi="Aptos"/>
                <w:sz w:val="16"/>
              </w:rPr>
              <w:t>metric by method plus design factors</w:t>
            </w:r>
          </w:p>
        </w:tc>
        <w:tc>
          <w:tcPr>
            <w:tcW w:type="dxa" w:w="3888"/>
            <w:tcMar>
              <w:top w:w="85" w:type="dxa"/>
              <w:start w:w="95" w:type="dxa"/>
              <w:bottom w:w="85" w:type="dxa"/>
              <w:end w:w="95" w:type="dxa"/>
            </w:tcMar>
            <w:vAlign w:val="center"/>
          </w:tcPr>
          <w:p>
            <w:pPr>
              <w:keepLines/>
              <w:spacing w:after="0" w:line="240" w:lineRule="auto"/>
              <w:jc w:val="left"/>
            </w:pPr>
            <w:r>
              <w:rPr>
                <w:rFonts w:ascii="Aptos" w:hAnsi="Aptos"/>
                <w:sz w:val="16"/>
              </w:rPr>
              <w:t>metric plus design factors</w:t>
            </w:r>
          </w:p>
        </w:tc>
      </w:tr>
      <w:tr>
        <w:trPr>
          <w:cantSplit w:val="true"/>
        </w:trPr>
        <w:tc>
          <w:tcPr>
            <w:tcW w:type="dxa" w:w="2232"/>
            <w:shd w:fill="F2F6FA"/>
            <w:tcMar>
              <w:top w:w="85" w:type="dxa"/>
              <w:start w:w="95" w:type="dxa"/>
              <w:bottom w:w="85" w:type="dxa"/>
              <w:end w:w="95" w:type="dxa"/>
            </w:tcMar>
            <w:vAlign w:val="center"/>
          </w:tcPr>
          <w:p>
            <w:pPr>
              <w:keepLines/>
              <w:spacing w:after="0" w:line="240" w:lineRule="auto"/>
              <w:jc w:val="left"/>
            </w:pPr>
            <w:r>
              <w:rPr>
                <w:rFonts w:ascii="Aptos" w:hAnsi="Aptos"/>
                <w:sz w:val="16"/>
              </w:rPr>
              <w:t>Fitting</w:t>
            </w:r>
          </w:p>
        </w:tc>
        <w:tc>
          <w:tcPr>
            <w:tcW w:type="dxa" w:w="3888"/>
            <w:shd w:fill="F2F6FA"/>
            <w:tcMar>
              <w:top w:w="85" w:type="dxa"/>
              <w:start w:w="95" w:type="dxa"/>
              <w:bottom w:w="85" w:type="dxa"/>
              <w:end w:w="95" w:type="dxa"/>
            </w:tcMar>
            <w:vAlign w:val="center"/>
          </w:tcPr>
          <w:p>
            <w:pPr>
              <w:keepLines/>
              <w:spacing w:after="0" w:line="240" w:lineRule="auto"/>
              <w:jc w:val="left"/>
            </w:pPr>
            <w:r>
              <w:rPr>
                <w:rFonts w:ascii="Aptos" w:hAnsi="Aptos"/>
                <w:sz w:val="16"/>
              </w:rPr>
              <w:t>Gaussian identity with fREML</w:t>
            </w:r>
          </w:p>
        </w:tc>
        <w:tc>
          <w:tcPr>
            <w:tcW w:type="dxa" w:w="3888"/>
            <w:shd w:fill="F2F6FA"/>
            <w:tcMar>
              <w:top w:w="85" w:type="dxa"/>
              <w:start w:w="95" w:type="dxa"/>
              <w:bottom w:w="85" w:type="dxa"/>
              <w:end w:w="95" w:type="dxa"/>
            </w:tcMar>
            <w:vAlign w:val="center"/>
          </w:tcPr>
          <w:p>
            <w:pPr>
              <w:keepLines/>
              <w:spacing w:after="0" w:line="240" w:lineRule="auto"/>
              <w:jc w:val="left"/>
            </w:pPr>
            <w:r>
              <w:rPr>
                <w:rFonts w:ascii="Aptos" w:hAnsi="Aptos"/>
                <w:sz w:val="16"/>
              </w:rPr>
              <w:t>Gaussian identity with fREML</w:t>
            </w:r>
          </w:p>
        </w:tc>
      </w:tr>
      <w:tr>
        <w:trPr>
          <w:cantSplit w:val="true"/>
        </w:trPr>
        <w:tc>
          <w:tcPr>
            <w:tcW w:type="dxa" w:w="2232"/>
            <w:tcMar>
              <w:top w:w="85" w:type="dxa"/>
              <w:start w:w="95" w:type="dxa"/>
              <w:bottom w:w="85" w:type="dxa"/>
              <w:end w:w="95" w:type="dxa"/>
            </w:tcMar>
            <w:vAlign w:val="center"/>
          </w:tcPr>
          <w:p>
            <w:pPr>
              <w:keepLines/>
              <w:spacing w:after="0" w:line="240" w:lineRule="auto"/>
              <w:jc w:val="left"/>
            </w:pPr>
            <w:r>
              <w:rPr>
                <w:rFonts w:ascii="Aptos" w:hAnsi="Aptos"/>
                <w:sz w:val="16"/>
              </w:rPr>
              <w:t>Sampling</w:t>
            </w:r>
          </w:p>
        </w:tc>
        <w:tc>
          <w:tcPr>
            <w:tcW w:type="dxa" w:w="3888"/>
            <w:tcMar>
              <w:top w:w="85" w:type="dxa"/>
              <w:start w:w="95" w:type="dxa"/>
              <w:bottom w:w="85" w:type="dxa"/>
              <w:end w:w="95" w:type="dxa"/>
            </w:tcMar>
            <w:vAlign w:val="center"/>
          </w:tcPr>
          <w:p>
            <w:pPr>
              <w:keepLines/>
              <w:spacing w:after="0" w:line="240" w:lineRule="auto"/>
              <w:jc w:val="left"/>
            </w:pPr>
            <w:r>
              <w:rPr>
                <w:rFonts w:ascii="Aptos" w:hAnsi="Aptos"/>
                <w:sz w:val="16"/>
              </w:rPr>
              <w:t>Maximum 500,000; seed 543</w:t>
            </w:r>
          </w:p>
        </w:tc>
        <w:tc>
          <w:tcPr>
            <w:tcW w:type="dxa" w:w="3888"/>
            <w:tcMar>
              <w:top w:w="85" w:type="dxa"/>
              <w:start w:w="95" w:type="dxa"/>
              <w:bottom w:w="85" w:type="dxa"/>
              <w:end w:w="95" w:type="dxa"/>
            </w:tcMar>
            <w:vAlign w:val="center"/>
          </w:tcPr>
          <w:p>
            <w:pPr>
              <w:keepLines/>
              <w:spacing w:after="0" w:line="240" w:lineRule="auto"/>
              <w:jc w:val="left"/>
            </w:pPr>
            <w:r>
              <w:rPr>
                <w:rFonts w:ascii="Aptos" w:hAnsi="Aptos"/>
                <w:sz w:val="16"/>
              </w:rPr>
              <w:t>Maximum 300,000; available 144,342</w:t>
            </w:r>
          </w:p>
        </w:tc>
      </w:tr>
    </w:tbl>
    <w:p>
      <w:pPr>
        <w:spacing w:after="20"/>
      </w:pPr>
    </w:p>
    <w:p>
      <w:r>
        <w:t>The global response is log(1 + error), not log(error). A coefficient b therefore multiplies 1 + error by exp(b); 100[exp(b) - 1] is an exact percentage change in 1 + error, not generally an exact percentage change in error. For small errors this distinction can be important. The difference response is even more restrictive: taking the absolute value removes direction before fitting, so no exponentiated coefficient from that model can establish whether v or iii has lower error.</w:t>
      </w:r>
    </w:p>
    <w:p>
      <w:r>
        <w:br w:type="page"/>
      </w:r>
    </w:p>
    <w:p>
      <w:pPr>
        <w:pStyle w:val="Heading1"/>
      </w:pPr>
      <w:r>
        <w:t>1 Global GAM Results</w:t>
      </w:r>
    </w:p>
    <w:p>
      <w:r>
        <w:t>The global model converged at full rank, 167 of 167, with negligible score gradients. Its large sample yields high power, so practical magnitude and surface structure are more informative than p values alone. The ANOVA table ranks the main experimental drivers clearly, while the method coefficients and interactions show that comparative performance varies by error metric.</w:t>
      </w:r>
    </w:p>
    <w:p>
      <w:pPr>
        <w:pStyle w:val="Heading2"/>
      </w:pPr>
      <w:r>
        <w:t>Hierarchy of experimental influence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cantSplit w:val="true"/>
        </w:trPr>
        <w:tc>
          <w:tcPr>
            <w:tcW w:type="dxa" w:w="792"/>
            <w:shd w:fill="1F4E78"/>
            <w:tcMar>
              <w:top w:w="85" w:type="dxa"/>
              <w:start w:w="95" w:type="dxa"/>
              <w:bottom w:w="85" w:type="dxa"/>
              <w:end w:w="95" w:type="dxa"/>
            </w:tcMar>
            <w:vAlign w:val="center"/>
          </w:tcPr>
          <w:p>
            <w:pPr>
              <w:jc w:val="center"/>
            </w:pPr>
            <w:r>
              <w:rPr>
                <w:rFonts w:ascii="Aptos" w:hAnsi="Aptos"/>
                <w:b/>
                <w:color w:val="FFFFFF"/>
                <w:sz w:val="17"/>
              </w:rPr>
              <w:t>Rank</w:t>
            </w:r>
          </w:p>
        </w:tc>
        <w:tc>
          <w:tcPr>
            <w:tcW w:type="dxa" w:w="2232"/>
            <w:shd w:fill="1F4E78"/>
            <w:tcMar>
              <w:top w:w="85" w:type="dxa"/>
              <w:start w:w="95" w:type="dxa"/>
              <w:bottom w:w="85" w:type="dxa"/>
              <w:end w:w="95" w:type="dxa"/>
            </w:tcMar>
            <w:vAlign w:val="center"/>
          </w:tcPr>
          <w:p>
            <w:pPr>
              <w:jc w:val="center"/>
            </w:pPr>
            <w:r>
              <w:rPr>
                <w:rFonts w:ascii="Aptos" w:hAnsi="Aptos"/>
                <w:b/>
                <w:color w:val="FFFFFF"/>
                <w:sz w:val="17"/>
              </w:rPr>
              <w:t>Term</w:t>
            </w:r>
          </w:p>
        </w:tc>
        <w:tc>
          <w:tcPr>
            <w:tcW w:type="dxa" w:w="936"/>
            <w:shd w:fill="1F4E78"/>
            <w:tcMar>
              <w:top w:w="85" w:type="dxa"/>
              <w:start w:w="95" w:type="dxa"/>
              <w:bottom w:w="85" w:type="dxa"/>
              <w:end w:w="95" w:type="dxa"/>
            </w:tcMar>
            <w:vAlign w:val="center"/>
          </w:tcPr>
          <w:p>
            <w:pPr>
              <w:jc w:val="center"/>
            </w:pPr>
            <w:r>
              <w:rPr>
                <w:rFonts w:ascii="Aptos" w:hAnsi="Aptos"/>
                <w:b/>
                <w:color w:val="FFFFFF"/>
                <w:sz w:val="17"/>
              </w:rPr>
              <w:t>df</w:t>
            </w:r>
          </w:p>
        </w:tc>
        <w:tc>
          <w:tcPr>
            <w:tcW w:type="dxa" w:w="1728"/>
            <w:shd w:fill="1F4E78"/>
            <w:tcMar>
              <w:top w:w="85" w:type="dxa"/>
              <w:start w:w="95" w:type="dxa"/>
              <w:bottom w:w="85" w:type="dxa"/>
              <w:end w:w="95" w:type="dxa"/>
            </w:tcMar>
            <w:vAlign w:val="center"/>
          </w:tcPr>
          <w:p>
            <w:pPr>
              <w:jc w:val="center"/>
            </w:pPr>
            <w:r>
              <w:rPr>
                <w:rFonts w:ascii="Aptos" w:hAnsi="Aptos"/>
                <w:b/>
                <w:color w:val="FFFFFF"/>
                <w:sz w:val="17"/>
              </w:rPr>
              <w:t>F statistic</w:t>
            </w:r>
          </w:p>
        </w:tc>
        <w:tc>
          <w:tcPr>
            <w:tcW w:type="dxa" w:w="4320"/>
            <w:shd w:fill="1F4E78"/>
            <w:tcMar>
              <w:top w:w="85" w:type="dxa"/>
              <w:start w:w="95" w:type="dxa"/>
              <w:bottom w:w="85" w:type="dxa"/>
              <w:end w:w="95" w:type="dxa"/>
            </w:tcMar>
            <w:vAlign w:val="center"/>
          </w:tcPr>
          <w:p>
            <w:pPr>
              <w:jc w:val="center"/>
            </w:pPr>
            <w:r>
              <w:rPr>
                <w:rFonts w:ascii="Aptos" w:hAnsi="Aptos"/>
                <w:b/>
                <w:color w:val="FFFFFF"/>
                <w:sz w:val="17"/>
              </w:rPr>
              <w:t>Interpretation</w:t>
            </w:r>
          </w:p>
        </w:tc>
      </w:tr>
      <w:tr>
        <w:trPr>
          <w:cantSplit w:val="true"/>
        </w:trPr>
        <w:tc>
          <w:tcPr>
            <w:tcW w:type="dxa" w:w="792"/>
            <w:tcMar>
              <w:top w:w="85" w:type="dxa"/>
              <w:start w:w="95" w:type="dxa"/>
              <w:bottom w:w="85" w:type="dxa"/>
              <w:end w:w="95" w:type="dxa"/>
            </w:tcMar>
            <w:vAlign w:val="center"/>
          </w:tcPr>
          <w:p>
            <w:pPr>
              <w:keepLines/>
              <w:spacing w:after="0" w:line="240" w:lineRule="auto"/>
              <w:jc w:val="left"/>
            </w:pPr>
            <w:r>
              <w:rPr>
                <w:rFonts w:ascii="Aptos" w:hAnsi="Aptos"/>
                <w:sz w:val="17"/>
              </w:rPr>
              <w:t>1</w:t>
            </w:r>
          </w:p>
        </w:tc>
        <w:tc>
          <w:tcPr>
            <w:tcW w:type="dxa" w:w="2232"/>
            <w:tcMar>
              <w:top w:w="85" w:type="dxa"/>
              <w:start w:w="95" w:type="dxa"/>
              <w:bottom w:w="85" w:type="dxa"/>
              <w:end w:w="95" w:type="dxa"/>
            </w:tcMar>
            <w:vAlign w:val="center"/>
          </w:tcPr>
          <w:p>
            <w:pPr>
              <w:keepLines/>
              <w:spacing w:after="0" w:line="240" w:lineRule="auto"/>
              <w:jc w:val="center"/>
            </w:pPr>
            <w:r>
              <w:rPr>
                <w:rFonts w:ascii="Aptos" w:hAnsi="Aptos"/>
                <w:sz w:val="17"/>
              </w:rPr>
              <w:t>G</w:t>
            </w:r>
          </w:p>
        </w:tc>
        <w:tc>
          <w:tcPr>
            <w:tcW w:type="dxa" w:w="936"/>
            <w:tcMar>
              <w:top w:w="85" w:type="dxa"/>
              <w:start w:w="95" w:type="dxa"/>
              <w:bottom w:w="85" w:type="dxa"/>
              <w:end w:w="95" w:type="dxa"/>
            </w:tcMar>
            <w:vAlign w:val="center"/>
          </w:tcPr>
          <w:p>
            <w:pPr>
              <w:keepLines/>
              <w:spacing w:after="0" w:line="240" w:lineRule="auto"/>
              <w:jc w:val="center"/>
            </w:pPr>
            <w:r>
              <w:rPr>
                <w:rFonts w:ascii="Aptos" w:hAnsi="Aptos"/>
                <w:sz w:val="17"/>
              </w:rPr>
              <w:t>1</w:t>
            </w:r>
          </w:p>
        </w:tc>
        <w:tc>
          <w:tcPr>
            <w:tcW w:type="dxa" w:w="1728"/>
            <w:tcMar>
              <w:top w:w="85" w:type="dxa"/>
              <w:start w:w="95" w:type="dxa"/>
              <w:bottom w:w="85" w:type="dxa"/>
              <w:end w:w="95" w:type="dxa"/>
            </w:tcMar>
            <w:vAlign w:val="center"/>
          </w:tcPr>
          <w:p>
            <w:pPr>
              <w:keepLines/>
              <w:spacing w:after="0" w:line="240" w:lineRule="auto"/>
              <w:jc w:val="center"/>
            </w:pPr>
            <w:r>
              <w:rPr>
                <w:rFonts w:ascii="Aptos" w:hAnsi="Aptos"/>
                <w:sz w:val="17"/>
              </w:rPr>
              <w:t>90,046.7</w:t>
            </w:r>
          </w:p>
        </w:tc>
        <w:tc>
          <w:tcPr>
            <w:tcW w:type="dxa" w:w="4320"/>
            <w:tcMar>
              <w:top w:w="85" w:type="dxa"/>
              <w:start w:w="95" w:type="dxa"/>
              <w:bottom w:w="85" w:type="dxa"/>
              <w:end w:w="95" w:type="dxa"/>
            </w:tcMar>
            <w:vAlign w:val="center"/>
          </w:tcPr>
          <w:p>
            <w:pPr>
              <w:keepLines/>
              <w:spacing w:after="0" w:line="240" w:lineRule="auto"/>
              <w:jc w:val="center"/>
            </w:pPr>
            <w:r>
              <w:rPr>
                <w:rFonts w:ascii="Aptos" w:hAnsi="Aptos"/>
                <w:sz w:val="17"/>
              </w:rPr>
              <w:t>Dominant information-size effect</w:t>
            </w:r>
          </w:p>
        </w:tc>
      </w:tr>
      <w:tr>
        <w:trPr>
          <w:cantSplit w:val="true"/>
        </w:trPr>
        <w:tc>
          <w:tcPr>
            <w:tcW w:type="dxa" w:w="792"/>
            <w:shd w:fill="F2F6FA"/>
            <w:tcMar>
              <w:top w:w="85" w:type="dxa"/>
              <w:start w:w="95" w:type="dxa"/>
              <w:bottom w:w="85" w:type="dxa"/>
              <w:end w:w="95" w:type="dxa"/>
            </w:tcMar>
            <w:vAlign w:val="center"/>
          </w:tcPr>
          <w:p>
            <w:pPr>
              <w:keepLines/>
              <w:spacing w:after="0" w:line="240" w:lineRule="auto"/>
              <w:jc w:val="left"/>
            </w:pPr>
            <w:r>
              <w:rPr>
                <w:rFonts w:ascii="Aptos" w:hAnsi="Aptos"/>
                <w:sz w:val="17"/>
              </w:rPr>
              <w:t>2</w:t>
            </w:r>
          </w:p>
        </w:tc>
        <w:tc>
          <w:tcPr>
            <w:tcW w:type="dxa" w:w="2232"/>
            <w:shd w:fill="F2F6FA"/>
            <w:tcMar>
              <w:top w:w="85" w:type="dxa"/>
              <w:start w:w="95" w:type="dxa"/>
              <w:bottom w:w="85" w:type="dxa"/>
              <w:end w:w="95" w:type="dxa"/>
            </w:tcMar>
            <w:vAlign w:val="center"/>
          </w:tcPr>
          <w:p>
            <w:pPr>
              <w:keepLines/>
              <w:spacing w:after="0" w:line="240" w:lineRule="auto"/>
              <w:jc w:val="center"/>
            </w:pPr>
            <w:r>
              <w:rPr>
                <w:rFonts w:ascii="Aptos" w:hAnsi="Aptos"/>
                <w:sz w:val="17"/>
              </w:rPr>
              <w:t>sigma</w:t>
            </w:r>
          </w:p>
        </w:tc>
        <w:tc>
          <w:tcPr>
            <w:tcW w:type="dxa" w:w="936"/>
            <w:shd w:fill="F2F6FA"/>
            <w:tcMar>
              <w:top w:w="85" w:type="dxa"/>
              <w:start w:w="95" w:type="dxa"/>
              <w:bottom w:w="85" w:type="dxa"/>
              <w:end w:w="95" w:type="dxa"/>
            </w:tcMar>
            <w:vAlign w:val="center"/>
          </w:tcPr>
          <w:p>
            <w:pPr>
              <w:keepLines/>
              <w:spacing w:after="0" w:line="240" w:lineRule="auto"/>
              <w:jc w:val="center"/>
            </w:pPr>
            <w:r>
              <w:rPr>
                <w:rFonts w:ascii="Aptos" w:hAnsi="Aptos"/>
                <w:sz w:val="17"/>
              </w:rPr>
              <w:t>1</w:t>
            </w:r>
          </w:p>
        </w:tc>
        <w:tc>
          <w:tcPr>
            <w:tcW w:type="dxa" w:w="1728"/>
            <w:shd w:fill="F2F6FA"/>
            <w:tcMar>
              <w:top w:w="85" w:type="dxa"/>
              <w:start w:w="95" w:type="dxa"/>
              <w:bottom w:w="85" w:type="dxa"/>
              <w:end w:w="95" w:type="dxa"/>
            </w:tcMar>
            <w:vAlign w:val="center"/>
          </w:tcPr>
          <w:p>
            <w:pPr>
              <w:keepLines/>
              <w:spacing w:after="0" w:line="240" w:lineRule="auto"/>
              <w:jc w:val="center"/>
            </w:pPr>
            <w:r>
              <w:rPr>
                <w:rFonts w:ascii="Aptos" w:hAnsi="Aptos"/>
                <w:sz w:val="17"/>
              </w:rPr>
              <w:t>81,932.4</w:t>
            </w:r>
          </w:p>
        </w:tc>
        <w:tc>
          <w:tcPr>
            <w:tcW w:type="dxa" w:w="4320"/>
            <w:shd w:fill="F2F6FA"/>
            <w:tcMar>
              <w:top w:w="85" w:type="dxa"/>
              <w:start w:w="95" w:type="dxa"/>
              <w:bottom w:w="85" w:type="dxa"/>
              <w:end w:w="95" w:type="dxa"/>
            </w:tcMar>
            <w:vAlign w:val="center"/>
          </w:tcPr>
          <w:p>
            <w:pPr>
              <w:keepLines/>
              <w:spacing w:after="0" w:line="240" w:lineRule="auto"/>
              <w:jc w:val="center"/>
            </w:pPr>
            <w:r>
              <w:rPr>
                <w:rFonts w:ascii="Aptos" w:hAnsi="Aptos"/>
                <w:sz w:val="17"/>
              </w:rPr>
              <w:t>Dominant degradation from noise</w:t>
            </w:r>
          </w:p>
        </w:tc>
      </w:tr>
      <w:tr>
        <w:trPr>
          <w:cantSplit w:val="true"/>
        </w:trPr>
        <w:tc>
          <w:tcPr>
            <w:tcW w:type="dxa" w:w="792"/>
            <w:tcMar>
              <w:top w:w="85" w:type="dxa"/>
              <w:start w:w="95" w:type="dxa"/>
              <w:bottom w:w="85" w:type="dxa"/>
              <w:end w:w="95" w:type="dxa"/>
            </w:tcMar>
            <w:vAlign w:val="center"/>
          </w:tcPr>
          <w:p>
            <w:pPr>
              <w:keepLines/>
              <w:spacing w:after="0" w:line="240" w:lineRule="auto"/>
              <w:jc w:val="left"/>
            </w:pPr>
            <w:r>
              <w:rPr>
                <w:rFonts w:ascii="Aptos" w:hAnsi="Aptos"/>
                <w:sz w:val="17"/>
              </w:rPr>
              <w:t>3</w:t>
            </w:r>
          </w:p>
        </w:tc>
        <w:tc>
          <w:tcPr>
            <w:tcW w:type="dxa" w:w="2232"/>
            <w:tcMar>
              <w:top w:w="85" w:type="dxa"/>
              <w:start w:w="95" w:type="dxa"/>
              <w:bottom w:w="85" w:type="dxa"/>
              <w:end w:w="95" w:type="dxa"/>
            </w:tcMar>
            <w:vAlign w:val="center"/>
          </w:tcPr>
          <w:p>
            <w:pPr>
              <w:keepLines/>
              <w:spacing w:after="0" w:line="240" w:lineRule="auto"/>
              <w:jc w:val="center"/>
            </w:pPr>
            <w:r>
              <w:rPr>
                <w:rFonts w:ascii="Aptos" w:hAnsi="Aptos"/>
                <w:sz w:val="17"/>
              </w:rPr>
              <w:t>mean_nsamp</w:t>
            </w:r>
          </w:p>
        </w:tc>
        <w:tc>
          <w:tcPr>
            <w:tcW w:type="dxa" w:w="936"/>
            <w:tcMar>
              <w:top w:w="85" w:type="dxa"/>
              <w:start w:w="95" w:type="dxa"/>
              <w:bottom w:w="85" w:type="dxa"/>
              <w:end w:w="95" w:type="dxa"/>
            </w:tcMar>
            <w:vAlign w:val="center"/>
          </w:tcPr>
          <w:p>
            <w:pPr>
              <w:keepLines/>
              <w:spacing w:after="0" w:line="240" w:lineRule="auto"/>
              <w:jc w:val="center"/>
            </w:pPr>
            <w:r>
              <w:rPr>
                <w:rFonts w:ascii="Aptos" w:hAnsi="Aptos"/>
                <w:sz w:val="17"/>
              </w:rPr>
              <w:t>1</w:t>
            </w:r>
          </w:p>
        </w:tc>
        <w:tc>
          <w:tcPr>
            <w:tcW w:type="dxa" w:w="1728"/>
            <w:tcMar>
              <w:top w:w="85" w:type="dxa"/>
              <w:start w:w="95" w:type="dxa"/>
              <w:bottom w:w="85" w:type="dxa"/>
              <w:end w:w="95" w:type="dxa"/>
            </w:tcMar>
            <w:vAlign w:val="center"/>
          </w:tcPr>
          <w:p>
            <w:pPr>
              <w:keepLines/>
              <w:spacing w:after="0" w:line="240" w:lineRule="auto"/>
              <w:jc w:val="center"/>
            </w:pPr>
            <w:r>
              <w:rPr>
                <w:rFonts w:ascii="Aptos" w:hAnsi="Aptos"/>
                <w:sz w:val="17"/>
              </w:rPr>
              <w:t>14,182.6</w:t>
            </w:r>
          </w:p>
        </w:tc>
        <w:tc>
          <w:tcPr>
            <w:tcW w:type="dxa" w:w="4320"/>
            <w:tcMar>
              <w:top w:w="85" w:type="dxa"/>
              <w:start w:w="95" w:type="dxa"/>
              <w:bottom w:w="85" w:type="dxa"/>
              <w:end w:w="95" w:type="dxa"/>
            </w:tcMar>
            <w:vAlign w:val="center"/>
          </w:tcPr>
          <w:p>
            <w:pPr>
              <w:keepLines/>
              <w:spacing w:after="0" w:line="240" w:lineRule="auto"/>
              <w:jc w:val="center"/>
            </w:pPr>
            <w:r>
              <w:rPr>
                <w:rFonts w:ascii="Aptos" w:hAnsi="Aptos"/>
                <w:sz w:val="17"/>
              </w:rPr>
              <w:t>Large improvement with sampling effort</w:t>
            </w:r>
          </w:p>
        </w:tc>
      </w:tr>
      <w:tr>
        <w:trPr>
          <w:cantSplit w:val="true"/>
        </w:trPr>
        <w:tc>
          <w:tcPr>
            <w:tcW w:type="dxa" w:w="792"/>
            <w:shd w:fill="F2F6FA"/>
            <w:tcMar>
              <w:top w:w="85" w:type="dxa"/>
              <w:start w:w="95" w:type="dxa"/>
              <w:bottom w:w="85" w:type="dxa"/>
              <w:end w:w="95" w:type="dxa"/>
            </w:tcMar>
            <w:vAlign w:val="center"/>
          </w:tcPr>
          <w:p>
            <w:pPr>
              <w:keepLines/>
              <w:spacing w:after="0" w:line="240" w:lineRule="auto"/>
              <w:jc w:val="left"/>
            </w:pPr>
            <w:r>
              <w:rPr>
                <w:rFonts w:ascii="Aptos" w:hAnsi="Aptos"/>
                <w:sz w:val="17"/>
              </w:rPr>
              <w:t>4</w:t>
            </w:r>
          </w:p>
        </w:tc>
        <w:tc>
          <w:tcPr>
            <w:tcW w:type="dxa" w:w="2232"/>
            <w:shd w:fill="F2F6FA"/>
            <w:tcMar>
              <w:top w:w="85" w:type="dxa"/>
              <w:start w:w="95" w:type="dxa"/>
              <w:bottom w:w="85" w:type="dxa"/>
              <w:end w:w="95" w:type="dxa"/>
            </w:tcMar>
            <w:vAlign w:val="center"/>
          </w:tcPr>
          <w:p>
            <w:pPr>
              <w:keepLines/>
              <w:spacing w:after="0" w:line="240" w:lineRule="auto"/>
              <w:jc w:val="center"/>
            </w:pPr>
            <w:r>
              <w:rPr>
                <w:rFonts w:ascii="Aptos" w:hAnsi="Aptos"/>
                <w:sz w:val="17"/>
              </w:rPr>
              <w:t>theta_true</w:t>
            </w:r>
          </w:p>
        </w:tc>
        <w:tc>
          <w:tcPr>
            <w:tcW w:type="dxa" w:w="936"/>
            <w:shd w:fill="F2F6FA"/>
            <w:tcMar>
              <w:top w:w="85" w:type="dxa"/>
              <w:start w:w="95" w:type="dxa"/>
              <w:bottom w:w="85" w:type="dxa"/>
              <w:end w:w="95" w:type="dxa"/>
            </w:tcMar>
            <w:vAlign w:val="center"/>
          </w:tcPr>
          <w:p>
            <w:pPr>
              <w:keepLines/>
              <w:spacing w:after="0" w:line="240" w:lineRule="auto"/>
              <w:jc w:val="center"/>
            </w:pPr>
            <w:r>
              <w:rPr>
                <w:rFonts w:ascii="Aptos" w:hAnsi="Aptos"/>
                <w:sz w:val="17"/>
              </w:rPr>
              <w:t>1</w:t>
            </w:r>
          </w:p>
        </w:tc>
        <w:tc>
          <w:tcPr>
            <w:tcW w:type="dxa" w:w="1728"/>
            <w:shd w:fill="F2F6FA"/>
            <w:tcMar>
              <w:top w:w="85" w:type="dxa"/>
              <w:start w:w="95" w:type="dxa"/>
              <w:bottom w:w="85" w:type="dxa"/>
              <w:end w:w="95" w:type="dxa"/>
            </w:tcMar>
            <w:vAlign w:val="center"/>
          </w:tcPr>
          <w:p>
            <w:pPr>
              <w:keepLines/>
              <w:spacing w:after="0" w:line="240" w:lineRule="auto"/>
              <w:jc w:val="center"/>
            </w:pPr>
            <w:r>
              <w:rPr>
                <w:rFonts w:ascii="Aptos" w:hAnsi="Aptos"/>
                <w:sz w:val="17"/>
              </w:rPr>
              <w:t>3,784.2</w:t>
            </w:r>
          </w:p>
        </w:tc>
        <w:tc>
          <w:tcPr>
            <w:tcW w:type="dxa" w:w="4320"/>
            <w:shd w:fill="F2F6FA"/>
            <w:tcMar>
              <w:top w:w="85" w:type="dxa"/>
              <w:start w:w="95" w:type="dxa"/>
              <w:bottom w:w="85" w:type="dxa"/>
              <w:end w:w="95" w:type="dxa"/>
            </w:tcMar>
            <w:vAlign w:val="center"/>
          </w:tcPr>
          <w:p>
            <w:pPr>
              <w:keepLines/>
              <w:spacing w:after="0" w:line="240" w:lineRule="auto"/>
              <w:jc w:val="center"/>
            </w:pPr>
            <w:r>
              <w:rPr>
                <w:rFonts w:ascii="Aptos" w:hAnsi="Aptos"/>
                <w:sz w:val="17"/>
              </w:rPr>
              <w:t>Moderate signal-level effect</w:t>
            </w:r>
          </w:p>
        </w:tc>
      </w:tr>
      <w:tr>
        <w:trPr>
          <w:cantSplit w:val="true"/>
        </w:trPr>
        <w:tc>
          <w:tcPr>
            <w:tcW w:type="dxa" w:w="792"/>
            <w:tcMar>
              <w:top w:w="85" w:type="dxa"/>
              <w:start w:w="95" w:type="dxa"/>
              <w:bottom w:w="85" w:type="dxa"/>
              <w:end w:w="95" w:type="dxa"/>
            </w:tcMar>
            <w:vAlign w:val="center"/>
          </w:tcPr>
          <w:p>
            <w:pPr>
              <w:keepLines/>
              <w:spacing w:after="0" w:line="240" w:lineRule="auto"/>
              <w:jc w:val="left"/>
            </w:pPr>
            <w:r>
              <w:rPr>
                <w:rFonts w:ascii="Aptos" w:hAnsi="Aptos"/>
                <w:sz w:val="17"/>
              </w:rPr>
              <w:t>5</w:t>
            </w:r>
          </w:p>
        </w:tc>
        <w:tc>
          <w:tcPr>
            <w:tcW w:type="dxa" w:w="2232"/>
            <w:tcMar>
              <w:top w:w="85" w:type="dxa"/>
              <w:start w:w="95" w:type="dxa"/>
              <w:bottom w:w="85" w:type="dxa"/>
              <w:end w:w="95" w:type="dxa"/>
            </w:tcMar>
            <w:vAlign w:val="center"/>
          </w:tcPr>
          <w:p>
            <w:pPr>
              <w:keepLines/>
              <w:spacing w:after="0" w:line="240" w:lineRule="auto"/>
              <w:jc w:val="center"/>
            </w:pPr>
            <w:r>
              <w:rPr>
                <w:rFonts w:ascii="Aptos" w:hAnsi="Aptos"/>
                <w:sz w:val="17"/>
              </w:rPr>
              <w:t>design_block</w:t>
            </w:r>
          </w:p>
        </w:tc>
        <w:tc>
          <w:tcPr>
            <w:tcW w:type="dxa" w:w="936"/>
            <w:tcMar>
              <w:top w:w="85" w:type="dxa"/>
              <w:start w:w="95" w:type="dxa"/>
              <w:bottom w:w="85" w:type="dxa"/>
              <w:end w:w="95" w:type="dxa"/>
            </w:tcMar>
            <w:vAlign w:val="center"/>
          </w:tcPr>
          <w:p>
            <w:pPr>
              <w:keepLines/>
              <w:spacing w:after="0" w:line="240" w:lineRule="auto"/>
              <w:jc w:val="center"/>
            </w:pPr>
            <w:r>
              <w:rPr>
                <w:rFonts w:ascii="Aptos" w:hAnsi="Aptos"/>
                <w:sz w:val="17"/>
              </w:rPr>
              <w:t>2</w:t>
            </w:r>
          </w:p>
        </w:tc>
        <w:tc>
          <w:tcPr>
            <w:tcW w:type="dxa" w:w="1728"/>
            <w:tcMar>
              <w:top w:w="85" w:type="dxa"/>
              <w:start w:w="95" w:type="dxa"/>
              <w:bottom w:w="85" w:type="dxa"/>
              <w:end w:w="95" w:type="dxa"/>
            </w:tcMar>
            <w:vAlign w:val="center"/>
          </w:tcPr>
          <w:p>
            <w:pPr>
              <w:keepLines/>
              <w:spacing w:after="0" w:line="240" w:lineRule="auto"/>
              <w:jc w:val="center"/>
            </w:pPr>
            <w:r>
              <w:rPr>
                <w:rFonts w:ascii="Aptos" w:hAnsi="Aptos"/>
                <w:sz w:val="17"/>
              </w:rPr>
              <w:t>2,784.3</w:t>
            </w:r>
          </w:p>
        </w:tc>
        <w:tc>
          <w:tcPr>
            <w:tcW w:type="dxa" w:w="4320"/>
            <w:tcMar>
              <w:top w:w="85" w:type="dxa"/>
              <w:start w:w="95" w:type="dxa"/>
              <w:bottom w:w="85" w:type="dxa"/>
              <w:end w:w="95" w:type="dxa"/>
            </w:tcMar>
            <w:vAlign w:val="center"/>
          </w:tcPr>
          <w:p>
            <w:pPr>
              <w:keepLines/>
              <w:spacing w:after="0" w:line="240" w:lineRule="auto"/>
              <w:jc w:val="center"/>
            </w:pPr>
            <w:r>
              <w:rPr>
                <w:rFonts w:ascii="Aptos" w:hAnsi="Aptos"/>
                <w:sz w:val="17"/>
              </w:rPr>
              <w:t>Distributional context matters</w:t>
            </w:r>
          </w:p>
        </w:tc>
      </w:tr>
      <w:tr>
        <w:trPr>
          <w:cantSplit w:val="true"/>
        </w:trPr>
        <w:tc>
          <w:tcPr>
            <w:tcW w:type="dxa" w:w="792"/>
            <w:shd w:fill="F2F6FA"/>
            <w:tcMar>
              <w:top w:w="85" w:type="dxa"/>
              <w:start w:w="95" w:type="dxa"/>
              <w:bottom w:w="85" w:type="dxa"/>
              <w:end w:w="95" w:type="dxa"/>
            </w:tcMar>
            <w:vAlign w:val="center"/>
          </w:tcPr>
          <w:p>
            <w:pPr>
              <w:keepLines/>
              <w:spacing w:after="0" w:line="240" w:lineRule="auto"/>
              <w:jc w:val="left"/>
            </w:pPr>
            <w:r>
              <w:rPr>
                <w:rFonts w:ascii="Aptos" w:hAnsi="Aptos"/>
                <w:sz w:val="17"/>
              </w:rPr>
              <w:t>6</w:t>
            </w:r>
          </w:p>
        </w:tc>
        <w:tc>
          <w:tcPr>
            <w:tcW w:type="dxa" w:w="2232"/>
            <w:shd w:fill="F2F6FA"/>
            <w:tcMar>
              <w:top w:w="85" w:type="dxa"/>
              <w:start w:w="95" w:type="dxa"/>
              <w:bottom w:w="85" w:type="dxa"/>
              <w:end w:w="95" w:type="dxa"/>
            </w:tcMar>
            <w:vAlign w:val="center"/>
          </w:tcPr>
          <w:p>
            <w:pPr>
              <w:keepLines/>
              <w:spacing w:after="0" w:line="240" w:lineRule="auto"/>
              <w:jc w:val="center"/>
            </w:pPr>
            <w:r>
              <w:rPr>
                <w:rFonts w:ascii="Aptos" w:hAnsi="Aptos"/>
                <w:sz w:val="17"/>
              </w:rPr>
              <w:t>theta_CV</w:t>
            </w:r>
          </w:p>
        </w:tc>
        <w:tc>
          <w:tcPr>
            <w:tcW w:type="dxa" w:w="936"/>
            <w:shd w:fill="F2F6FA"/>
            <w:tcMar>
              <w:top w:w="85" w:type="dxa"/>
              <w:start w:w="95" w:type="dxa"/>
              <w:bottom w:w="85" w:type="dxa"/>
              <w:end w:w="95" w:type="dxa"/>
            </w:tcMar>
            <w:vAlign w:val="center"/>
          </w:tcPr>
          <w:p>
            <w:pPr>
              <w:keepLines/>
              <w:spacing w:after="0" w:line="240" w:lineRule="auto"/>
              <w:jc w:val="center"/>
            </w:pPr>
            <w:r>
              <w:rPr>
                <w:rFonts w:ascii="Aptos" w:hAnsi="Aptos"/>
                <w:sz w:val="17"/>
              </w:rPr>
              <w:t>1</w:t>
            </w:r>
          </w:p>
        </w:tc>
        <w:tc>
          <w:tcPr>
            <w:tcW w:type="dxa" w:w="1728"/>
            <w:shd w:fill="F2F6FA"/>
            <w:tcMar>
              <w:top w:w="85" w:type="dxa"/>
              <w:start w:w="95" w:type="dxa"/>
              <w:bottom w:w="85" w:type="dxa"/>
              <w:end w:w="95" w:type="dxa"/>
            </w:tcMar>
            <w:vAlign w:val="center"/>
          </w:tcPr>
          <w:p>
            <w:pPr>
              <w:keepLines/>
              <w:spacing w:after="0" w:line="240" w:lineRule="auto"/>
              <w:jc w:val="center"/>
            </w:pPr>
            <w:r>
              <w:rPr>
                <w:rFonts w:ascii="Aptos" w:hAnsi="Aptos"/>
                <w:sz w:val="17"/>
              </w:rPr>
              <w:t>169.4</w:t>
            </w:r>
          </w:p>
        </w:tc>
        <w:tc>
          <w:tcPr>
            <w:tcW w:type="dxa" w:w="4320"/>
            <w:shd w:fill="F2F6FA"/>
            <w:tcMar>
              <w:top w:w="85" w:type="dxa"/>
              <w:start w:w="95" w:type="dxa"/>
              <w:bottom w:w="85" w:type="dxa"/>
              <w:end w:w="95" w:type="dxa"/>
            </w:tcMar>
            <w:vAlign w:val="center"/>
          </w:tcPr>
          <w:p>
            <w:pPr>
              <w:keepLines/>
              <w:spacing w:after="0" w:line="240" w:lineRule="auto"/>
              <w:jc w:val="center"/>
            </w:pPr>
            <w:r>
              <w:rPr>
                <w:rFonts w:ascii="Aptos" w:hAnsi="Aptos"/>
                <w:sz w:val="17"/>
              </w:rPr>
              <w:t>Detectable but comparatively weak</w:t>
            </w:r>
          </w:p>
        </w:tc>
      </w:tr>
    </w:tbl>
    <w:p>
      <w:pPr>
        <w:spacing w:after="20"/>
      </w:pPr>
    </w:p>
    <w:p>
      <w:pPr>
        <w:pStyle w:val="TableNote"/>
      </w:pPr>
      <w:r>
        <w:t>Note. F statistics provide a useful within-model influence ranking but are not variance components or partial eta-squared values. Design block has two numerator degrees of freedom, so direct comparisons should remain descriptive.</w:t>
      </w:r>
    </w:p>
    <w:p>
      <w:r>
        <w:t>The estimated signs are coherent with the simulation design. Increasing G lowers log1p error (b = -0.03969), while increasing sigma raises it (b = 0.03783). On the 1 + error scale these correspond to approximately -3.89% and +3.86% per modeled unit. Mean_nsamp is beneficial (-1.56%), theta_true is beneficial (-0.81%), and theta_CV is mildly adverse (+0.17%). These percentages apply to the coding and unit changes used in the fitted model; they should not be read as full-range contrasts unless the predictors were scaled to that range.</w:t>
      </w:r>
    </w:p>
    <w:p>
      <w:r>
        <w:t>Relative to the omitted design block, Negative binomial and Poisson blocks have coefficients -0.01653 and -0.01766, or approximately 1.64% and 1.75% lower 1 + error. The output does not identify the omitted block in its printed coefficient table, so those effects are reference contrasts rather than a complete ranking of all sampling distributions.</w:t>
      </w:r>
    </w:p>
    <w:p>
      <w:pPr>
        <w:pStyle w:val="Heading2"/>
      </w:pPr>
      <w:r>
        <w:t>Metric and method effects</w:t>
      </w:r>
    </w:p>
    <w:p>
      <w:r>
        <w:t>Metric is the largest parametric term, F = 60,361.6, because RMSE, L1, and Linf quantify different aspects and scales of compositional error. Method is also decisive, F = 477.1, and the metric-by-method interaction is highly significant, F = 168.4. A single method ranking averaged over all metrics would therefore conceal meaningful changes in the size of the method effects.</w:t>
      </w:r>
    </w:p>
    <w:p>
      <w:r>
        <w:br w:type="page"/>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1440"/>
            <w:shd w:fill="1F4E78"/>
            <w:tcMar>
              <w:top w:w="85" w:type="dxa"/>
              <w:start w:w="95" w:type="dxa"/>
              <w:bottom w:w="85" w:type="dxa"/>
              <w:end w:w="95" w:type="dxa"/>
            </w:tcMar>
            <w:vAlign w:val="center"/>
          </w:tcPr>
          <w:p>
            <w:pPr>
              <w:jc w:val="center"/>
            </w:pPr>
            <w:r>
              <w:rPr>
                <w:rFonts w:ascii="Aptos" w:hAnsi="Aptos"/>
                <w:b/>
                <w:color w:val="FFFFFF"/>
                <w:sz w:val="17"/>
              </w:rPr>
              <w:t>Metric</w:t>
            </w:r>
          </w:p>
        </w:tc>
        <w:tc>
          <w:tcPr>
            <w:tcW w:type="dxa" w:w="4320"/>
            <w:shd w:fill="1F4E78"/>
            <w:tcMar>
              <w:top w:w="85" w:type="dxa"/>
              <w:start w:w="95" w:type="dxa"/>
              <w:bottom w:w="85" w:type="dxa"/>
              <w:end w:w="95" w:type="dxa"/>
            </w:tcMar>
            <w:vAlign w:val="center"/>
          </w:tcPr>
          <w:p>
            <w:pPr>
              <w:jc w:val="center"/>
            </w:pPr>
            <w:r>
              <w:rPr>
                <w:rFonts w:ascii="Aptos" w:hAnsi="Aptos"/>
                <w:b/>
                <w:color w:val="FFFFFF"/>
                <w:sz w:val="17"/>
              </w:rPr>
              <w:t>Adjusted ordering at reference configuration</w:t>
            </w:r>
          </w:p>
        </w:tc>
        <w:tc>
          <w:tcPr>
            <w:tcW w:type="dxa" w:w="4320"/>
            <w:shd w:fill="1F4E78"/>
            <w:tcMar>
              <w:top w:w="85" w:type="dxa"/>
              <w:start w:w="95" w:type="dxa"/>
              <w:bottom w:w="85" w:type="dxa"/>
              <w:end w:w="95" w:type="dxa"/>
            </w:tcMar>
            <w:vAlign w:val="center"/>
          </w:tcPr>
          <w:p>
            <w:pPr>
              <w:jc w:val="center"/>
            </w:pPr>
            <w:r>
              <w:rPr>
                <w:rFonts w:ascii="Aptos" w:hAnsi="Aptos"/>
                <w:b/>
                <w:color w:val="FFFFFF"/>
                <w:sz w:val="17"/>
              </w:rPr>
              <w:t>Key contrast on 1 plus error scale</w:t>
            </w:r>
          </w:p>
        </w:tc>
      </w:tr>
      <w:tr>
        <w:trPr>
          <w:cantSplit w:val="true"/>
        </w:trPr>
        <w:tc>
          <w:tcPr>
            <w:tcW w:type="dxa" w:w="1440"/>
            <w:tcMar>
              <w:top w:w="85" w:type="dxa"/>
              <w:start w:w="95" w:type="dxa"/>
              <w:bottom w:w="85" w:type="dxa"/>
              <w:end w:w="95" w:type="dxa"/>
            </w:tcMar>
            <w:vAlign w:val="center"/>
          </w:tcPr>
          <w:p>
            <w:pPr>
              <w:keepLines/>
              <w:spacing w:after="0" w:line="240" w:lineRule="auto"/>
              <w:jc w:val="left"/>
            </w:pPr>
            <w:r>
              <w:rPr>
                <w:rFonts w:ascii="Aptos" w:hAnsi="Aptos"/>
                <w:sz w:val="17"/>
              </w:rPr>
              <w:t>L1</w:t>
            </w:r>
          </w:p>
        </w:tc>
        <w:tc>
          <w:tcPr>
            <w:tcW w:type="dxa" w:w="4320"/>
            <w:tcMar>
              <w:top w:w="85" w:type="dxa"/>
              <w:start w:w="95" w:type="dxa"/>
              <w:bottom w:w="85" w:type="dxa"/>
              <w:end w:w="95" w:type="dxa"/>
            </w:tcMar>
            <w:vAlign w:val="center"/>
          </w:tcPr>
          <w:p>
            <w:pPr>
              <w:keepLines/>
              <w:spacing w:after="0" w:line="240" w:lineRule="auto"/>
              <w:jc w:val="left"/>
            </w:pPr>
            <w:r>
              <w:rPr>
                <w:rFonts w:ascii="Aptos" w:hAnsi="Aptos"/>
                <w:sz w:val="17"/>
              </w:rPr>
              <w:t>v &lt; iii &lt; iv &lt; i &lt; ii</w:t>
            </w:r>
          </w:p>
        </w:tc>
        <w:tc>
          <w:tcPr>
            <w:tcW w:type="dxa" w:w="4320"/>
            <w:tcMar>
              <w:top w:w="85" w:type="dxa"/>
              <w:start w:w="95" w:type="dxa"/>
              <w:bottom w:w="85" w:type="dxa"/>
              <w:end w:w="95" w:type="dxa"/>
            </w:tcMar>
            <w:vAlign w:val="center"/>
          </w:tcPr>
          <w:p>
            <w:pPr>
              <w:keepLines/>
              <w:spacing w:after="0" w:line="240" w:lineRule="auto"/>
              <w:jc w:val="left"/>
            </w:pPr>
            <w:r>
              <w:rPr>
                <w:rFonts w:ascii="Aptos" w:hAnsi="Aptos"/>
                <w:sz w:val="17"/>
              </w:rPr>
              <w:t>v is 1.13% below i; ii is 2.92% above i</w:t>
            </w:r>
          </w:p>
        </w:tc>
      </w:tr>
      <w:tr>
        <w:trPr>
          <w:cantSplit w:val="true"/>
        </w:trPr>
        <w:tc>
          <w:tcPr>
            <w:tcW w:type="dxa" w:w="1440"/>
            <w:shd w:fill="F2F6FA"/>
            <w:tcMar>
              <w:top w:w="85" w:type="dxa"/>
              <w:start w:w="95" w:type="dxa"/>
              <w:bottom w:w="85" w:type="dxa"/>
              <w:end w:w="95" w:type="dxa"/>
            </w:tcMar>
            <w:vAlign w:val="center"/>
          </w:tcPr>
          <w:p>
            <w:pPr>
              <w:keepLines/>
              <w:spacing w:after="0" w:line="240" w:lineRule="auto"/>
              <w:jc w:val="left"/>
            </w:pPr>
            <w:r>
              <w:rPr>
                <w:rFonts w:ascii="Aptos" w:hAnsi="Aptos"/>
                <w:sz w:val="17"/>
              </w:rPr>
              <w:t>Linf</w:t>
            </w:r>
          </w:p>
        </w:tc>
        <w:tc>
          <w:tcPr>
            <w:tcW w:type="dxa" w:w="4320"/>
            <w:shd w:fill="F2F6FA"/>
            <w:tcMar>
              <w:top w:w="85" w:type="dxa"/>
              <w:start w:w="95" w:type="dxa"/>
              <w:bottom w:w="85" w:type="dxa"/>
              <w:end w:w="95" w:type="dxa"/>
            </w:tcMar>
            <w:vAlign w:val="center"/>
          </w:tcPr>
          <w:p>
            <w:pPr>
              <w:keepLines/>
              <w:spacing w:after="0" w:line="240" w:lineRule="auto"/>
              <w:jc w:val="left"/>
            </w:pPr>
            <w:r>
              <w:rPr>
                <w:rFonts w:ascii="Aptos" w:hAnsi="Aptos"/>
                <w:sz w:val="17"/>
              </w:rPr>
              <w:t>v approximately iii &lt; iv &lt; i &lt; ii</w:t>
            </w:r>
          </w:p>
        </w:tc>
        <w:tc>
          <w:tcPr>
            <w:tcW w:type="dxa" w:w="4320"/>
            <w:shd w:fill="F2F6FA"/>
            <w:tcMar>
              <w:top w:w="85" w:type="dxa"/>
              <w:start w:w="95" w:type="dxa"/>
              <w:bottom w:w="85" w:type="dxa"/>
              <w:end w:w="95" w:type="dxa"/>
            </w:tcMar>
            <w:vAlign w:val="center"/>
          </w:tcPr>
          <w:p>
            <w:pPr>
              <w:keepLines/>
              <w:spacing w:after="0" w:line="240" w:lineRule="auto"/>
              <w:jc w:val="left"/>
            </w:pPr>
            <w:r>
              <w:rPr>
                <w:rFonts w:ascii="Aptos" w:hAnsi="Aptos"/>
                <w:sz w:val="17"/>
              </w:rPr>
              <w:t>v is 0.70% below i; iii is 0.67% below i</w:t>
            </w:r>
          </w:p>
        </w:tc>
      </w:tr>
      <w:tr>
        <w:trPr>
          <w:cantSplit w:val="true"/>
        </w:trPr>
        <w:tc>
          <w:tcPr>
            <w:tcW w:type="dxa" w:w="1440"/>
            <w:tcMar>
              <w:top w:w="85" w:type="dxa"/>
              <w:start w:w="95" w:type="dxa"/>
              <w:bottom w:w="85" w:type="dxa"/>
              <w:end w:w="95" w:type="dxa"/>
            </w:tcMar>
            <w:vAlign w:val="center"/>
          </w:tcPr>
          <w:p>
            <w:pPr>
              <w:keepLines/>
              <w:spacing w:after="0" w:line="240" w:lineRule="auto"/>
              <w:jc w:val="left"/>
            </w:pPr>
            <w:r>
              <w:rPr>
                <w:rFonts w:ascii="Aptos" w:hAnsi="Aptos"/>
                <w:sz w:val="17"/>
              </w:rPr>
              <w:t>RMSE</w:t>
            </w:r>
          </w:p>
        </w:tc>
        <w:tc>
          <w:tcPr>
            <w:tcW w:type="dxa" w:w="4320"/>
            <w:tcMar>
              <w:top w:w="85" w:type="dxa"/>
              <w:start w:w="95" w:type="dxa"/>
              <w:bottom w:w="85" w:type="dxa"/>
              <w:end w:w="95" w:type="dxa"/>
            </w:tcMar>
            <w:vAlign w:val="center"/>
          </w:tcPr>
          <w:p>
            <w:pPr>
              <w:keepLines/>
              <w:spacing w:after="0" w:line="240" w:lineRule="auto"/>
              <w:jc w:val="left"/>
            </w:pPr>
            <w:r>
              <w:rPr>
                <w:rFonts w:ascii="Aptos" w:hAnsi="Aptos"/>
                <w:sz w:val="17"/>
              </w:rPr>
              <w:t>iii &lt; v &lt; iv &lt; i &lt; ii</w:t>
            </w:r>
          </w:p>
        </w:tc>
        <w:tc>
          <w:tcPr>
            <w:tcW w:type="dxa" w:w="4320"/>
            <w:tcMar>
              <w:top w:w="85" w:type="dxa"/>
              <w:start w:w="95" w:type="dxa"/>
              <w:bottom w:w="85" w:type="dxa"/>
              <w:end w:w="95" w:type="dxa"/>
            </w:tcMar>
            <w:vAlign w:val="center"/>
          </w:tcPr>
          <w:p>
            <w:pPr>
              <w:keepLines/>
              <w:spacing w:after="0" w:line="240" w:lineRule="auto"/>
              <w:jc w:val="left"/>
            </w:pPr>
            <w:r>
              <w:rPr>
                <w:rFonts w:ascii="Aptos" w:hAnsi="Aptos"/>
                <w:sz w:val="17"/>
              </w:rPr>
              <w:t>iii is 0.42% below i; ii is 0.94% above i</w:t>
            </w:r>
          </w:p>
        </w:tc>
      </w:tr>
    </w:tbl>
    <w:p>
      <w:pPr>
        <w:spacing w:after="20"/>
      </w:pPr>
    </w:p>
    <w:p>
      <w:pPr>
        <w:pStyle w:val="TableNote"/>
      </w:pPr>
      <w:r>
        <w:t>Note. These orderings combine the method main effects with the relevant metric-by-method interactions. They apply at the model reference configuration and the centered smooth effects, not uniformly over the simplex.</w:t>
      </w:r>
    </w:p>
    <w:p>
      <w:r>
        <w:t>Method ii is the only method with an unambiguous adverse position: its adjusted effect is positive for every metric. Methods iii and v are the leading pair. Method v has the lowest adjusted L1 and Linf, while iii has the lowest adjusted RMSE. Their differences from method i are small in percentage terms but precisely estimated. Method iv is intermediate, and its main L1 contrast with i is not significant (p = 0.179), although the Linf interaction is significant (p = 0.027).</w:t>
      </w:r>
    </w:p>
    <w:p>
      <w:pPr>
        <w:pStyle w:val="Heading2"/>
      </w:pPr>
      <w:r>
        <w:t>Method specific smooth significance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cantSplit w:val="true"/>
        </w:trPr>
        <w:tc>
          <w:tcPr>
            <w:tcW w:type="dxa" w:w="1152"/>
            <w:shd w:fill="1F4E78"/>
            <w:tcMar>
              <w:top w:w="85" w:type="dxa"/>
              <w:start w:w="95" w:type="dxa"/>
              <w:bottom w:w="85" w:type="dxa"/>
              <w:end w:w="95" w:type="dxa"/>
            </w:tcMar>
            <w:vAlign w:val="center"/>
          </w:tcPr>
          <w:p>
            <w:pPr>
              <w:jc w:val="center"/>
            </w:pPr>
            <w:r>
              <w:rPr>
                <w:rFonts w:ascii="Aptos" w:hAnsi="Aptos"/>
                <w:b/>
                <w:color w:val="FFFFFF"/>
                <w:sz w:val="16"/>
              </w:rPr>
              <w:t>Method</w:t>
            </w:r>
          </w:p>
        </w:tc>
        <w:tc>
          <w:tcPr>
            <w:tcW w:type="dxa" w:w="1656"/>
            <w:shd w:fill="1F4E78"/>
            <w:tcMar>
              <w:top w:w="85" w:type="dxa"/>
              <w:start w:w="95" w:type="dxa"/>
              <w:bottom w:w="85" w:type="dxa"/>
              <w:end w:w="95" w:type="dxa"/>
            </w:tcMar>
            <w:vAlign w:val="center"/>
          </w:tcPr>
          <w:p>
            <w:pPr>
              <w:jc w:val="center"/>
            </w:pPr>
            <w:r>
              <w:rPr>
                <w:rFonts w:ascii="Aptos" w:hAnsi="Aptos"/>
                <w:b/>
                <w:color w:val="FFFFFF"/>
                <w:sz w:val="16"/>
              </w:rPr>
              <w:t>edf of 29</w:t>
            </w:r>
          </w:p>
        </w:tc>
        <w:tc>
          <w:tcPr>
            <w:tcW w:type="dxa" w:w="1296"/>
            <w:shd w:fill="1F4E78"/>
            <w:tcMar>
              <w:top w:w="85" w:type="dxa"/>
              <w:start w:w="95" w:type="dxa"/>
              <w:bottom w:w="85" w:type="dxa"/>
              <w:end w:w="95" w:type="dxa"/>
            </w:tcMar>
            <w:vAlign w:val="center"/>
          </w:tcPr>
          <w:p>
            <w:pPr>
              <w:jc w:val="center"/>
            </w:pPr>
            <w:r>
              <w:rPr>
                <w:rFonts w:ascii="Aptos" w:hAnsi="Aptos"/>
                <w:b/>
                <w:color w:val="FFFFFF"/>
                <w:sz w:val="16"/>
              </w:rPr>
              <w:t>F</w:t>
            </w:r>
          </w:p>
        </w:tc>
        <w:tc>
          <w:tcPr>
            <w:tcW w:type="dxa" w:w="1656"/>
            <w:shd w:fill="1F4E78"/>
            <w:tcMar>
              <w:top w:w="85" w:type="dxa"/>
              <w:start w:w="95" w:type="dxa"/>
              <w:bottom w:w="85" w:type="dxa"/>
              <w:end w:w="95" w:type="dxa"/>
            </w:tcMar>
            <w:vAlign w:val="center"/>
          </w:tcPr>
          <w:p>
            <w:pPr>
              <w:jc w:val="center"/>
            </w:pPr>
            <w:r>
              <w:rPr>
                <w:rFonts w:ascii="Aptos" w:hAnsi="Aptos"/>
                <w:b/>
                <w:color w:val="FFFFFF"/>
                <w:sz w:val="16"/>
              </w:rPr>
              <w:t>p value</w:t>
            </w:r>
          </w:p>
        </w:tc>
        <w:tc>
          <w:tcPr>
            <w:tcW w:type="dxa" w:w="4320"/>
            <w:shd w:fill="1F4E78"/>
            <w:tcMar>
              <w:top w:w="85" w:type="dxa"/>
              <w:start w:w="95" w:type="dxa"/>
              <w:bottom w:w="85" w:type="dxa"/>
              <w:end w:w="95" w:type="dxa"/>
            </w:tcMar>
            <w:vAlign w:val="center"/>
          </w:tcPr>
          <w:p>
            <w:pPr>
              <w:jc w:val="center"/>
            </w:pPr>
            <w:r>
              <w:rPr>
                <w:rFonts w:ascii="Aptos" w:hAnsi="Aptos"/>
                <w:b/>
                <w:color w:val="FFFFFF"/>
                <w:sz w:val="16"/>
              </w:rPr>
              <w:t>Interpretation</w:t>
            </w:r>
          </w:p>
        </w:tc>
      </w:tr>
      <w:tr>
        <w:trPr>
          <w:cantSplit w:val="true"/>
        </w:trPr>
        <w:tc>
          <w:tcPr>
            <w:tcW w:type="dxa" w:w="1152"/>
            <w:tcMar>
              <w:top w:w="85" w:type="dxa"/>
              <w:start w:w="95" w:type="dxa"/>
              <w:bottom w:w="85" w:type="dxa"/>
              <w:end w:w="95" w:type="dxa"/>
            </w:tcMar>
            <w:vAlign w:val="center"/>
          </w:tcPr>
          <w:p>
            <w:pPr>
              <w:keepLines/>
              <w:spacing w:after="0" w:line="240" w:lineRule="auto"/>
              <w:jc w:val="left"/>
            </w:pPr>
            <w:r>
              <w:rPr>
                <w:rFonts w:ascii="Aptos" w:hAnsi="Aptos"/>
                <w:sz w:val="16"/>
              </w:rPr>
              <w:t>i</w:t>
            </w:r>
          </w:p>
        </w:tc>
        <w:tc>
          <w:tcPr>
            <w:tcW w:type="dxa" w:w="1656"/>
            <w:tcMar>
              <w:top w:w="85" w:type="dxa"/>
              <w:start w:w="95" w:type="dxa"/>
              <w:bottom w:w="85" w:type="dxa"/>
              <w:end w:w="95" w:type="dxa"/>
            </w:tcMar>
            <w:vAlign w:val="center"/>
          </w:tcPr>
          <w:p>
            <w:pPr>
              <w:keepLines/>
              <w:spacing w:after="0" w:line="240" w:lineRule="auto"/>
              <w:jc w:val="center"/>
            </w:pPr>
            <w:r>
              <w:rPr>
                <w:rFonts w:ascii="Aptos" w:hAnsi="Aptos"/>
                <w:sz w:val="16"/>
              </w:rPr>
              <w:t>12.87</w:t>
            </w:r>
          </w:p>
        </w:tc>
        <w:tc>
          <w:tcPr>
            <w:tcW w:type="dxa" w:w="1296"/>
            <w:tcMar>
              <w:top w:w="85" w:type="dxa"/>
              <w:start w:w="95" w:type="dxa"/>
              <w:bottom w:w="85" w:type="dxa"/>
              <w:end w:w="95" w:type="dxa"/>
            </w:tcMar>
            <w:vAlign w:val="center"/>
          </w:tcPr>
          <w:p>
            <w:pPr>
              <w:keepLines/>
              <w:spacing w:after="0" w:line="240" w:lineRule="auto"/>
              <w:jc w:val="center"/>
            </w:pPr>
            <w:r>
              <w:rPr>
                <w:rFonts w:ascii="Aptos" w:hAnsi="Aptos"/>
                <w:sz w:val="16"/>
              </w:rPr>
              <w:t>7.919</w:t>
            </w:r>
          </w:p>
        </w:tc>
        <w:tc>
          <w:tcPr>
            <w:tcW w:type="dxa" w:w="1656"/>
            <w:tcMar>
              <w:top w:w="85" w:type="dxa"/>
              <w:start w:w="95" w:type="dxa"/>
              <w:bottom w:w="85" w:type="dxa"/>
              <w:end w:w="95" w:type="dxa"/>
            </w:tcMar>
            <w:vAlign w:val="center"/>
          </w:tcPr>
          <w:p>
            <w:pPr>
              <w:keepLines/>
              <w:spacing w:after="0" w:line="240" w:lineRule="auto"/>
              <w:jc w:val="center"/>
            </w:pPr>
            <w:r>
              <w:rPr>
                <w:rFonts w:ascii="Aptos" w:hAnsi="Aptos"/>
                <w:sz w:val="16"/>
              </w:rPr>
              <w:t>&lt; 2e-16</w:t>
            </w:r>
          </w:p>
        </w:tc>
        <w:tc>
          <w:tcPr>
            <w:tcW w:type="dxa" w:w="4320"/>
            <w:tcMar>
              <w:top w:w="85" w:type="dxa"/>
              <w:start w:w="95" w:type="dxa"/>
              <w:bottom w:w="85" w:type="dxa"/>
              <w:end w:w="95" w:type="dxa"/>
            </w:tcMar>
            <w:vAlign w:val="center"/>
          </w:tcPr>
          <w:p>
            <w:pPr>
              <w:keepLines/>
              <w:spacing w:after="0" w:line="240" w:lineRule="auto"/>
              <w:jc w:val="center"/>
            </w:pPr>
            <w:r>
              <w:rPr>
                <w:rFonts w:ascii="Aptos" w:hAnsi="Aptos"/>
                <w:sz w:val="16"/>
              </w:rPr>
              <w:t>Strong and locally complex surface</w:t>
            </w:r>
          </w:p>
        </w:tc>
      </w:tr>
      <w:tr>
        <w:trPr>
          <w:cantSplit w:val="true"/>
        </w:trPr>
        <w:tc>
          <w:tcPr>
            <w:tcW w:type="dxa" w:w="1152"/>
            <w:shd w:fill="F2F6FA"/>
            <w:tcMar>
              <w:top w:w="85" w:type="dxa"/>
              <w:start w:w="95" w:type="dxa"/>
              <w:bottom w:w="85" w:type="dxa"/>
              <w:end w:w="95" w:type="dxa"/>
            </w:tcMar>
            <w:vAlign w:val="center"/>
          </w:tcPr>
          <w:p>
            <w:pPr>
              <w:keepLines/>
              <w:spacing w:after="0" w:line="240" w:lineRule="auto"/>
              <w:jc w:val="left"/>
            </w:pPr>
            <w:r>
              <w:rPr>
                <w:rFonts w:ascii="Aptos" w:hAnsi="Aptos"/>
                <w:sz w:val="16"/>
              </w:rPr>
              <w:t>ii</w:t>
            </w:r>
          </w:p>
        </w:tc>
        <w:tc>
          <w:tcPr>
            <w:tcW w:type="dxa" w:w="1656"/>
            <w:shd w:fill="F2F6FA"/>
            <w:tcMar>
              <w:top w:w="85" w:type="dxa"/>
              <w:start w:w="95" w:type="dxa"/>
              <w:bottom w:w="85" w:type="dxa"/>
              <w:end w:w="95" w:type="dxa"/>
            </w:tcMar>
            <w:vAlign w:val="center"/>
          </w:tcPr>
          <w:p>
            <w:pPr>
              <w:keepLines/>
              <w:spacing w:after="0" w:line="240" w:lineRule="auto"/>
              <w:jc w:val="center"/>
            </w:pPr>
            <w:r>
              <w:rPr>
                <w:rFonts w:ascii="Aptos" w:hAnsi="Aptos"/>
                <w:sz w:val="16"/>
              </w:rPr>
              <w:t>5.22</w:t>
            </w:r>
          </w:p>
        </w:tc>
        <w:tc>
          <w:tcPr>
            <w:tcW w:type="dxa" w:w="1296"/>
            <w:shd w:fill="F2F6FA"/>
            <w:tcMar>
              <w:top w:w="85" w:type="dxa"/>
              <w:start w:w="95" w:type="dxa"/>
              <w:bottom w:w="85" w:type="dxa"/>
              <w:end w:w="95" w:type="dxa"/>
            </w:tcMar>
            <w:vAlign w:val="center"/>
          </w:tcPr>
          <w:p>
            <w:pPr>
              <w:keepLines/>
              <w:spacing w:after="0" w:line="240" w:lineRule="auto"/>
              <w:jc w:val="center"/>
            </w:pPr>
            <w:r>
              <w:rPr>
                <w:rFonts w:ascii="Aptos" w:hAnsi="Aptos"/>
                <w:sz w:val="16"/>
              </w:rPr>
              <w:t>2.399</w:t>
            </w:r>
          </w:p>
        </w:tc>
        <w:tc>
          <w:tcPr>
            <w:tcW w:type="dxa" w:w="1656"/>
            <w:shd w:fill="F2F6FA"/>
            <w:tcMar>
              <w:top w:w="85" w:type="dxa"/>
              <w:start w:w="95" w:type="dxa"/>
              <w:bottom w:w="85" w:type="dxa"/>
              <w:end w:w="95" w:type="dxa"/>
            </w:tcMar>
            <w:vAlign w:val="center"/>
          </w:tcPr>
          <w:p>
            <w:pPr>
              <w:keepLines/>
              <w:spacing w:after="0" w:line="240" w:lineRule="auto"/>
              <w:jc w:val="center"/>
            </w:pPr>
            <w:r>
              <w:rPr>
                <w:rFonts w:ascii="Aptos" w:hAnsi="Aptos"/>
                <w:sz w:val="16"/>
              </w:rPr>
              <w:t>0.0168</w:t>
            </w:r>
          </w:p>
        </w:tc>
        <w:tc>
          <w:tcPr>
            <w:tcW w:type="dxa" w:w="4320"/>
            <w:shd w:fill="F2F6FA"/>
            <w:tcMar>
              <w:top w:w="85" w:type="dxa"/>
              <w:start w:w="95" w:type="dxa"/>
              <w:bottom w:w="85" w:type="dxa"/>
              <w:end w:w="95" w:type="dxa"/>
            </w:tcMar>
            <w:vAlign w:val="center"/>
          </w:tcPr>
          <w:p>
            <w:pPr>
              <w:keepLines/>
              <w:spacing w:after="0" w:line="240" w:lineRule="auto"/>
              <w:jc w:val="center"/>
            </w:pPr>
            <w:r>
              <w:rPr>
                <w:rFonts w:ascii="Aptos" w:hAnsi="Aptos"/>
                <w:sz w:val="16"/>
              </w:rPr>
              <w:t>Simpler but detectable surface</w:t>
            </w:r>
          </w:p>
        </w:tc>
      </w:tr>
      <w:tr>
        <w:trPr>
          <w:cantSplit w:val="true"/>
        </w:trPr>
        <w:tc>
          <w:tcPr>
            <w:tcW w:type="dxa" w:w="1152"/>
            <w:tcMar>
              <w:top w:w="85" w:type="dxa"/>
              <w:start w:w="95" w:type="dxa"/>
              <w:bottom w:w="85" w:type="dxa"/>
              <w:end w:w="95" w:type="dxa"/>
            </w:tcMar>
            <w:vAlign w:val="center"/>
          </w:tcPr>
          <w:p>
            <w:pPr>
              <w:keepLines/>
              <w:spacing w:after="0" w:line="240" w:lineRule="auto"/>
              <w:jc w:val="left"/>
            </w:pPr>
            <w:r>
              <w:rPr>
                <w:rFonts w:ascii="Aptos" w:hAnsi="Aptos"/>
                <w:sz w:val="16"/>
              </w:rPr>
              <w:t>iii</w:t>
            </w:r>
          </w:p>
        </w:tc>
        <w:tc>
          <w:tcPr>
            <w:tcW w:type="dxa" w:w="1656"/>
            <w:tcMar>
              <w:top w:w="85" w:type="dxa"/>
              <w:start w:w="95" w:type="dxa"/>
              <w:bottom w:w="85" w:type="dxa"/>
              <w:end w:w="95" w:type="dxa"/>
            </w:tcMar>
            <w:vAlign w:val="center"/>
          </w:tcPr>
          <w:p>
            <w:pPr>
              <w:keepLines/>
              <w:spacing w:after="0" w:line="240" w:lineRule="auto"/>
              <w:jc w:val="center"/>
            </w:pPr>
            <w:r>
              <w:rPr>
                <w:rFonts w:ascii="Aptos" w:hAnsi="Aptos"/>
                <w:sz w:val="16"/>
              </w:rPr>
              <w:t>10.61</w:t>
            </w:r>
          </w:p>
        </w:tc>
        <w:tc>
          <w:tcPr>
            <w:tcW w:type="dxa" w:w="1296"/>
            <w:tcMar>
              <w:top w:w="85" w:type="dxa"/>
              <w:start w:w="95" w:type="dxa"/>
              <w:bottom w:w="85" w:type="dxa"/>
              <w:end w:w="95" w:type="dxa"/>
            </w:tcMar>
            <w:vAlign w:val="center"/>
          </w:tcPr>
          <w:p>
            <w:pPr>
              <w:keepLines/>
              <w:spacing w:after="0" w:line="240" w:lineRule="auto"/>
              <w:jc w:val="center"/>
            </w:pPr>
            <w:r>
              <w:rPr>
                <w:rFonts w:ascii="Aptos" w:hAnsi="Aptos"/>
                <w:sz w:val="16"/>
              </w:rPr>
              <w:t>9.207</w:t>
            </w:r>
          </w:p>
        </w:tc>
        <w:tc>
          <w:tcPr>
            <w:tcW w:type="dxa" w:w="1656"/>
            <w:tcMar>
              <w:top w:w="85" w:type="dxa"/>
              <w:start w:w="95" w:type="dxa"/>
              <w:bottom w:w="85" w:type="dxa"/>
              <w:end w:w="95" w:type="dxa"/>
            </w:tcMar>
            <w:vAlign w:val="center"/>
          </w:tcPr>
          <w:p>
            <w:pPr>
              <w:keepLines/>
              <w:spacing w:after="0" w:line="240" w:lineRule="auto"/>
              <w:jc w:val="center"/>
            </w:pPr>
            <w:r>
              <w:rPr>
                <w:rFonts w:ascii="Aptos" w:hAnsi="Aptos"/>
                <w:sz w:val="16"/>
              </w:rPr>
              <w:t>&lt; 2e-16</w:t>
            </w:r>
          </w:p>
        </w:tc>
        <w:tc>
          <w:tcPr>
            <w:tcW w:type="dxa" w:w="4320"/>
            <w:tcMar>
              <w:top w:w="85" w:type="dxa"/>
              <w:start w:w="95" w:type="dxa"/>
              <w:bottom w:w="85" w:type="dxa"/>
              <w:end w:w="95" w:type="dxa"/>
            </w:tcMar>
            <w:vAlign w:val="center"/>
          </w:tcPr>
          <w:p>
            <w:pPr>
              <w:keepLines/>
              <w:spacing w:after="0" w:line="240" w:lineRule="auto"/>
              <w:jc w:val="center"/>
            </w:pPr>
            <w:r>
              <w:rPr>
                <w:rFonts w:ascii="Aptos" w:hAnsi="Aptos"/>
                <w:sz w:val="16"/>
              </w:rPr>
              <w:t>Strongest smooth test statistic</w:t>
            </w:r>
          </w:p>
        </w:tc>
      </w:tr>
      <w:tr>
        <w:trPr>
          <w:cantSplit w:val="true"/>
        </w:trPr>
        <w:tc>
          <w:tcPr>
            <w:tcW w:type="dxa" w:w="1152"/>
            <w:shd w:fill="F2F6FA"/>
            <w:tcMar>
              <w:top w:w="85" w:type="dxa"/>
              <w:start w:w="95" w:type="dxa"/>
              <w:bottom w:w="85" w:type="dxa"/>
              <w:end w:w="95" w:type="dxa"/>
            </w:tcMar>
            <w:vAlign w:val="center"/>
          </w:tcPr>
          <w:p>
            <w:pPr>
              <w:keepLines/>
              <w:spacing w:after="0" w:line="240" w:lineRule="auto"/>
              <w:jc w:val="left"/>
            </w:pPr>
            <w:r>
              <w:rPr>
                <w:rFonts w:ascii="Aptos" w:hAnsi="Aptos"/>
                <w:sz w:val="16"/>
              </w:rPr>
              <w:t>iv</w:t>
            </w:r>
          </w:p>
        </w:tc>
        <w:tc>
          <w:tcPr>
            <w:tcW w:type="dxa" w:w="1656"/>
            <w:shd w:fill="F2F6FA"/>
            <w:tcMar>
              <w:top w:w="85" w:type="dxa"/>
              <w:start w:w="95" w:type="dxa"/>
              <w:bottom w:w="85" w:type="dxa"/>
              <w:end w:w="95" w:type="dxa"/>
            </w:tcMar>
            <w:vAlign w:val="center"/>
          </w:tcPr>
          <w:p>
            <w:pPr>
              <w:keepLines/>
              <w:spacing w:after="0" w:line="240" w:lineRule="auto"/>
              <w:jc w:val="center"/>
            </w:pPr>
            <w:r>
              <w:rPr>
                <w:rFonts w:ascii="Aptos" w:hAnsi="Aptos"/>
                <w:sz w:val="16"/>
              </w:rPr>
              <w:t>8.43</w:t>
            </w:r>
          </w:p>
        </w:tc>
        <w:tc>
          <w:tcPr>
            <w:tcW w:type="dxa" w:w="1296"/>
            <w:shd w:fill="F2F6FA"/>
            <w:tcMar>
              <w:top w:w="85" w:type="dxa"/>
              <w:start w:w="95" w:type="dxa"/>
              <w:bottom w:w="85" w:type="dxa"/>
              <w:end w:w="95" w:type="dxa"/>
            </w:tcMar>
            <w:vAlign w:val="center"/>
          </w:tcPr>
          <w:p>
            <w:pPr>
              <w:keepLines/>
              <w:spacing w:after="0" w:line="240" w:lineRule="auto"/>
              <w:jc w:val="center"/>
            </w:pPr>
            <w:r>
              <w:rPr>
                <w:rFonts w:ascii="Aptos" w:hAnsi="Aptos"/>
                <w:sz w:val="16"/>
              </w:rPr>
              <w:t>4.509</w:t>
            </w:r>
          </w:p>
        </w:tc>
        <w:tc>
          <w:tcPr>
            <w:tcW w:type="dxa" w:w="1656"/>
            <w:shd w:fill="F2F6FA"/>
            <w:tcMar>
              <w:top w:w="85" w:type="dxa"/>
              <w:start w:w="95" w:type="dxa"/>
              <w:bottom w:w="85" w:type="dxa"/>
              <w:end w:w="95" w:type="dxa"/>
            </w:tcMar>
            <w:vAlign w:val="center"/>
          </w:tcPr>
          <w:p>
            <w:pPr>
              <w:keepLines/>
              <w:spacing w:after="0" w:line="240" w:lineRule="auto"/>
              <w:jc w:val="center"/>
            </w:pPr>
            <w:r>
              <w:rPr>
                <w:rFonts w:ascii="Aptos" w:hAnsi="Aptos"/>
                <w:sz w:val="16"/>
              </w:rPr>
              <w:t>5.95e-06</w:t>
            </w:r>
          </w:p>
        </w:tc>
        <w:tc>
          <w:tcPr>
            <w:tcW w:type="dxa" w:w="4320"/>
            <w:shd w:fill="F2F6FA"/>
            <w:tcMar>
              <w:top w:w="85" w:type="dxa"/>
              <w:start w:w="95" w:type="dxa"/>
              <w:bottom w:w="85" w:type="dxa"/>
              <w:end w:w="95" w:type="dxa"/>
            </w:tcMar>
            <w:vAlign w:val="center"/>
          </w:tcPr>
          <w:p>
            <w:pPr>
              <w:keepLines/>
              <w:spacing w:after="0" w:line="240" w:lineRule="auto"/>
              <w:jc w:val="center"/>
            </w:pPr>
            <w:r>
              <w:rPr>
                <w:rFonts w:ascii="Aptos" w:hAnsi="Aptos"/>
                <w:sz w:val="16"/>
              </w:rPr>
              <w:t>Moderate nonlinear surface</w:t>
            </w:r>
          </w:p>
        </w:tc>
      </w:tr>
      <w:tr>
        <w:trPr>
          <w:cantSplit w:val="true"/>
        </w:trPr>
        <w:tc>
          <w:tcPr>
            <w:tcW w:type="dxa" w:w="1152"/>
            <w:tcMar>
              <w:top w:w="85" w:type="dxa"/>
              <w:start w:w="95" w:type="dxa"/>
              <w:bottom w:w="85" w:type="dxa"/>
              <w:end w:w="95" w:type="dxa"/>
            </w:tcMar>
            <w:vAlign w:val="center"/>
          </w:tcPr>
          <w:p>
            <w:pPr>
              <w:keepLines/>
              <w:spacing w:after="0" w:line="240" w:lineRule="auto"/>
              <w:jc w:val="left"/>
            </w:pPr>
            <w:r>
              <w:rPr>
                <w:rFonts w:ascii="Aptos" w:hAnsi="Aptos"/>
                <w:sz w:val="16"/>
              </w:rPr>
              <w:t>v</w:t>
            </w:r>
          </w:p>
        </w:tc>
        <w:tc>
          <w:tcPr>
            <w:tcW w:type="dxa" w:w="1656"/>
            <w:tcMar>
              <w:top w:w="85" w:type="dxa"/>
              <w:start w:w="95" w:type="dxa"/>
              <w:bottom w:w="85" w:type="dxa"/>
              <w:end w:w="95" w:type="dxa"/>
            </w:tcMar>
            <w:vAlign w:val="center"/>
          </w:tcPr>
          <w:p>
            <w:pPr>
              <w:keepLines/>
              <w:spacing w:after="0" w:line="240" w:lineRule="auto"/>
              <w:jc w:val="center"/>
            </w:pPr>
            <w:r>
              <w:rPr>
                <w:rFonts w:ascii="Aptos" w:hAnsi="Aptos"/>
                <w:sz w:val="16"/>
              </w:rPr>
              <w:t>6.38</w:t>
            </w:r>
          </w:p>
        </w:tc>
        <w:tc>
          <w:tcPr>
            <w:tcW w:type="dxa" w:w="1296"/>
            <w:tcMar>
              <w:top w:w="85" w:type="dxa"/>
              <w:start w:w="95" w:type="dxa"/>
              <w:bottom w:w="85" w:type="dxa"/>
              <w:end w:w="95" w:type="dxa"/>
            </w:tcMar>
            <w:vAlign w:val="center"/>
          </w:tcPr>
          <w:p>
            <w:pPr>
              <w:keepLines/>
              <w:spacing w:after="0" w:line="240" w:lineRule="auto"/>
              <w:jc w:val="center"/>
            </w:pPr>
            <w:r>
              <w:rPr>
                <w:rFonts w:ascii="Aptos" w:hAnsi="Aptos"/>
                <w:sz w:val="16"/>
              </w:rPr>
              <w:t>1.778</w:t>
            </w:r>
          </w:p>
        </w:tc>
        <w:tc>
          <w:tcPr>
            <w:tcW w:type="dxa" w:w="1656"/>
            <w:tcMar>
              <w:top w:w="85" w:type="dxa"/>
              <w:start w:w="95" w:type="dxa"/>
              <w:bottom w:w="85" w:type="dxa"/>
              <w:end w:w="95" w:type="dxa"/>
            </w:tcMar>
            <w:vAlign w:val="center"/>
          </w:tcPr>
          <w:p>
            <w:pPr>
              <w:keepLines/>
              <w:spacing w:after="0" w:line="240" w:lineRule="auto"/>
              <w:jc w:val="center"/>
            </w:pPr>
            <w:r>
              <w:rPr>
                <w:rFonts w:ascii="Aptos" w:hAnsi="Aptos"/>
                <w:sz w:val="16"/>
              </w:rPr>
              <w:t>0.0625</w:t>
            </w:r>
          </w:p>
        </w:tc>
        <w:tc>
          <w:tcPr>
            <w:tcW w:type="dxa" w:w="4320"/>
            <w:tcMar>
              <w:top w:w="85" w:type="dxa"/>
              <w:start w:w="95" w:type="dxa"/>
              <w:bottom w:w="85" w:type="dxa"/>
              <w:end w:w="95" w:type="dxa"/>
            </w:tcMar>
            <w:vAlign w:val="center"/>
          </w:tcPr>
          <w:p>
            <w:pPr>
              <w:keepLines/>
              <w:spacing w:after="0" w:line="240" w:lineRule="auto"/>
              <w:jc w:val="center"/>
            </w:pPr>
            <w:r>
              <w:rPr>
                <w:rFonts w:ascii="Aptos" w:hAnsi="Aptos"/>
                <w:sz w:val="16"/>
              </w:rPr>
              <w:t>Weak evidence after other terms</w:t>
            </w:r>
          </w:p>
        </w:tc>
      </w:tr>
    </w:tbl>
    <w:p>
      <w:pPr>
        <w:spacing w:after="20"/>
      </w:pPr>
    </w:p>
    <w:p>
      <w:r>
        <w:t>The nonsignificant v smooth does not imply that method v has constant accuracy over the simplex. It means that its centered method-specific p1-p2 deviation is not clearly different from zero after the parametric terms and smoothing penalty. The full prediction surface still changes because all model components contribute. The separate color scales in the gratia panels also prevent direct comparison of color intensity among methods; numerical contours in the prediction panels are more appropriate for cross-method comparison.</w:t>
      </w:r>
    </w:p>
    <w:p>
      <w:r>
        <w:br w:type="page"/>
      </w:r>
    </w:p>
    <w:p>
      <w:pPr>
        <w:pStyle w:val="Heading1"/>
      </w:pPr>
      <w:r>
        <w:t>2 Surface Morphology Across the Simplex</w:t>
      </w:r>
    </w:p>
    <w:p>
      <w:r>
        <w:t>The method-specific surfaces show where composition geometry changes adjusted error. The plotted domain is triangular because p1 and p2 are compositional coordinates and the remaining mass constrains their joint support. Interior predictions are supported by denser observations; boundary and corner interpretations deserve more caution because thin-plate smooths have less local information there.</w:t>
      </w:r>
    </w:p>
    <w:p>
      <w:pPr>
        <w:keepNext/>
        <w:jc w:val="center"/>
      </w:pPr>
      <w:r>
        <w:drawing>
          <wp:inline xmlns:a="http://schemas.openxmlformats.org/drawingml/2006/main" xmlns:pic="http://schemas.openxmlformats.org/drawingml/2006/picture">
            <wp:extent cx="6236208" cy="4156457"/>
            <wp:docPr id="1" name="Picture 1"/>
            <wp:cNvGraphicFramePr>
              <a:graphicFrameLocks noChangeAspect="1"/>
            </wp:cNvGraphicFramePr>
            <a:graphic>
              <a:graphicData uri="http://schemas.openxmlformats.org/drawingml/2006/picture">
                <pic:pic>
                  <pic:nvPicPr>
                    <pic:cNvPr id="0" name="code_E_global_gratia_smooths(10).png"/>
                    <pic:cNvPicPr/>
                  </pic:nvPicPr>
                  <pic:blipFill>
                    <a:blip r:embed="rId9"/>
                    <a:stretch>
                      <a:fillRect/>
                    </a:stretch>
                  </pic:blipFill>
                  <pic:spPr>
                    <a:xfrm>
                      <a:off x="0" y="0"/>
                      <a:ext cx="6236208" cy="4156457"/>
                    </a:xfrm>
                    <a:prstGeom prst="rect"/>
                  </pic:spPr>
                </pic:pic>
              </a:graphicData>
            </a:graphic>
          </wp:inline>
        </w:drawing>
      </w:r>
    </w:p>
    <w:p>
      <w:pPr>
        <w:pStyle w:val="FigureCaption"/>
        <w:jc w:val="left"/>
      </w:pPr>
      <w:r>
        <w:t>Figure 1. Centered p1-p2 partial effects by method from gratia. Warm colors raise the fitted log1p error relative to the centered method surface and cool colors lower it. Each panel has its own color scale, so morphology is comparable but color magnitude is not.</w:t>
      </w:r>
    </w:p>
    <w:p>
      <w:pPr>
        <w:pStyle w:val="Heading2"/>
      </w:pPr>
      <w:r>
        <w:t>Morphological interpretation</w:t>
      </w:r>
    </w:p>
    <w:p>
      <w:pPr>
        <w:pStyle w:val="ListBullet"/>
        <w:spacing w:after="60"/>
      </w:pPr>
      <w:r>
        <w:t>Method i has the most localized surface: a positive region occurs near p1 about 0.2 and p2 about 0.2, with negative regions through much of the middle-upper simplex and a positive turn near the high-p1 lower boundary.</w:t>
      </w:r>
    </w:p>
    <w:p>
      <w:pPr>
        <w:pStyle w:val="ListBullet"/>
        <w:spacing w:after="60"/>
      </w:pPr>
      <w:r>
        <w:t>Method ii has the simplest broad gradient. Its fitted effect is relatively low over much of the lower-left interior and increases toward high p2 and the upper-left boundary.</w:t>
      </w:r>
    </w:p>
    <w:p>
      <w:pPr>
        <w:pStyle w:val="ListBullet"/>
        <w:spacing w:after="60"/>
      </w:pPr>
      <w:r>
        <w:t>Method iii shows a broad central positive region and a strong negative gradient toward high p1, especially when p2 is small. Its partial-effect range is visually the largest, consistent with edf 10.61 and the largest smooth F statistic.</w:t>
      </w:r>
    </w:p>
    <w:p>
      <w:pPr>
        <w:pStyle w:val="ListBullet"/>
        <w:spacing w:after="60"/>
      </w:pPr>
      <w:r>
        <w:t>Methods iv and v have closely matched shapes: modest positive effects in the lower-central interior and negative effects toward high p1 and upper-left boundary regions. This similarity supports their classification as morphologically stable estimators over most of the simplex.</w:t>
      </w:r>
    </w:p>
    <w:p>
      <w:pPr>
        <w:pStyle w:val="ListBullet"/>
        <w:spacing w:after="60"/>
      </w:pPr>
      <w:r>
        <w:t>The strongest method separation is expected near simplex boundaries, where the direction and curvature of the method-specific surfaces differ most.</w:t>
      </w:r>
    </w:p>
    <w:p>
      <w:pPr>
        <w:keepNext/>
        <w:jc w:val="center"/>
      </w:pPr>
      <w:r>
        <w:drawing>
          <wp:inline xmlns:a="http://schemas.openxmlformats.org/drawingml/2006/main" xmlns:pic="http://schemas.openxmlformats.org/drawingml/2006/picture">
            <wp:extent cx="6236208" cy="4156457"/>
            <wp:docPr id="2" name="Picture 2"/>
            <wp:cNvGraphicFramePr>
              <a:graphicFrameLocks noChangeAspect="1"/>
            </wp:cNvGraphicFramePr>
            <a:graphic>
              <a:graphicData uri="http://schemas.openxmlformats.org/drawingml/2006/picture">
                <pic:pic>
                  <pic:nvPicPr>
                    <pic:cNvPr id="0" name="code_E_global_method_surfaces_panel(8).png"/>
                    <pic:cNvPicPr/>
                  </pic:nvPicPr>
                  <pic:blipFill>
                    <a:blip r:embed="rId10"/>
                    <a:stretch>
                      <a:fillRect/>
                    </a:stretch>
                  </pic:blipFill>
                  <pic:spPr>
                    <a:xfrm>
                      <a:off x="0" y="0"/>
                      <a:ext cx="6236208" cy="4156457"/>
                    </a:xfrm>
                    <a:prstGeom prst="rect"/>
                  </pic:spPr>
                </pic:pic>
              </a:graphicData>
            </a:graphic>
          </wp:inline>
        </w:drawing>
      </w:r>
    </w:p>
    <w:p>
      <w:pPr>
        <w:pStyle w:val="FigureCaption"/>
        <w:jc w:val="left"/>
      </w:pPr>
      <w:r>
        <w:t>Figure 2. Full fitted method-specific surfaces over p1 and p2. Contour labels are fitted log1p accuracy values under the plotting reference conditions; lower contours indicate better accuracy. These plots incorporate parametric and smooth components and are therefore preferable to partial-effect panels for comparing predicted levels.</w:t>
      </w:r>
    </w:p>
    <w:p>
      <w:r>
        <w:t>The prediction panels reinforce the adjusted hierarchy. Method ii occupies the highest error range, approximately 0.063 to 0.073 in the plotted configuration. Method i is lower but contains a pronounced local peak near p1 = 0.2 and p2 = 0.2. Methods iii, iv, and v generally occupy lower ranges and decline toward high p1. Methods iv and v are almost parallel across the simplex, while iii reaches especially low fitted values near the high-p1 upper boundary. These surfaces show conditional performance, not marginal averages over the full factorial design.</w:t>
      </w:r>
    </w:p>
    <w:p>
      <w:r>
        <w:br w:type="page"/>
      </w:r>
    </w:p>
    <w:p>
      <w:pPr>
        <w:pStyle w:val="Heading1"/>
      </w:pPr>
      <w:r>
        <w:t>3 Basis Dimension and Global Model Diagnostics</w:t>
      </w:r>
    </w:p>
    <w:p>
      <w:r>
        <w:t>The basis-dimension diagnostic is satisfactory. Every method smooth has k-prime = 29, k-index = 0.98, and a simulation p value between 0.14 and 0.23. The largest effective dimension is 12.87, less than half the available maximum. There is no evidence that k = 30 truncates the fitted global surfaces, and increasing k is unlikely to alter their broad morphology materially.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66"/>
        <w:gridCol w:w="1666"/>
        <w:gridCol w:w="1666"/>
        <w:gridCol w:w="1666"/>
        <w:gridCol w:w="1666"/>
        <w:gridCol w:w="1666"/>
      </w:tblGrid>
      <w:tr>
        <w:trPr>
          <w:tblHeader w:val="true"/>
          <w:cantSplit w:val="true"/>
        </w:trPr>
        <w:tc>
          <w:tcPr>
            <w:tcW w:type="dxa" w:w="2016"/>
            <w:shd w:fill="1F4E78"/>
            <w:tcMar>
              <w:top w:w="85" w:type="dxa"/>
              <w:start w:w="95" w:type="dxa"/>
              <w:bottom w:w="85" w:type="dxa"/>
              <w:end w:w="95" w:type="dxa"/>
            </w:tcMar>
            <w:vAlign w:val="center"/>
          </w:tcPr>
          <w:p>
            <w:pPr>
              <w:jc w:val="center"/>
            </w:pPr>
            <w:r>
              <w:rPr>
                <w:rFonts w:ascii="Aptos" w:hAnsi="Aptos"/>
                <w:b/>
                <w:color w:val="FFFFFF"/>
                <w:sz w:val="16"/>
              </w:rPr>
              <w:t>Smooth</w:t>
            </w:r>
          </w:p>
        </w:tc>
        <w:tc>
          <w:tcPr>
            <w:tcW w:type="dxa" w:w="1152"/>
            <w:shd w:fill="1F4E78"/>
            <w:tcMar>
              <w:top w:w="85" w:type="dxa"/>
              <w:start w:w="95" w:type="dxa"/>
              <w:bottom w:w="85" w:type="dxa"/>
              <w:end w:w="95" w:type="dxa"/>
            </w:tcMar>
            <w:vAlign w:val="center"/>
          </w:tcPr>
          <w:p>
            <w:pPr>
              <w:jc w:val="center"/>
            </w:pPr>
            <w:r>
              <w:rPr>
                <w:rFonts w:ascii="Aptos" w:hAnsi="Aptos"/>
                <w:b/>
                <w:color w:val="FFFFFF"/>
                <w:sz w:val="16"/>
              </w:rPr>
              <w:t>k prime</w:t>
            </w:r>
          </w:p>
        </w:tc>
        <w:tc>
          <w:tcPr>
            <w:tcW w:type="dxa" w:w="1224"/>
            <w:shd w:fill="1F4E78"/>
            <w:tcMar>
              <w:top w:w="85" w:type="dxa"/>
              <w:start w:w="95" w:type="dxa"/>
              <w:bottom w:w="85" w:type="dxa"/>
              <w:end w:w="95" w:type="dxa"/>
            </w:tcMar>
            <w:vAlign w:val="center"/>
          </w:tcPr>
          <w:p>
            <w:pPr>
              <w:jc w:val="center"/>
            </w:pPr>
            <w:r>
              <w:rPr>
                <w:rFonts w:ascii="Aptos" w:hAnsi="Aptos"/>
                <w:b/>
                <w:color w:val="FFFFFF"/>
                <w:sz w:val="16"/>
              </w:rPr>
              <w:t>edf</w:t>
            </w:r>
          </w:p>
        </w:tc>
        <w:tc>
          <w:tcPr>
            <w:tcW w:type="dxa" w:w="1440"/>
            <w:shd w:fill="1F4E78"/>
            <w:tcMar>
              <w:top w:w="85" w:type="dxa"/>
              <w:start w:w="95" w:type="dxa"/>
              <w:bottom w:w="85" w:type="dxa"/>
              <w:end w:w="95" w:type="dxa"/>
            </w:tcMar>
            <w:vAlign w:val="center"/>
          </w:tcPr>
          <w:p>
            <w:pPr>
              <w:jc w:val="center"/>
            </w:pPr>
            <w:r>
              <w:rPr>
                <w:rFonts w:ascii="Aptos" w:hAnsi="Aptos"/>
                <w:b/>
                <w:color w:val="FFFFFF"/>
                <w:sz w:val="16"/>
              </w:rPr>
              <w:t>k index</w:t>
            </w:r>
          </w:p>
        </w:tc>
        <w:tc>
          <w:tcPr>
            <w:tcW w:type="dxa" w:w="1440"/>
            <w:shd w:fill="1F4E78"/>
            <w:tcMar>
              <w:top w:w="85" w:type="dxa"/>
              <w:start w:w="95" w:type="dxa"/>
              <w:bottom w:w="85" w:type="dxa"/>
              <w:end w:w="95" w:type="dxa"/>
            </w:tcMar>
            <w:vAlign w:val="center"/>
          </w:tcPr>
          <w:p>
            <w:pPr>
              <w:jc w:val="center"/>
            </w:pPr>
            <w:r>
              <w:rPr>
                <w:rFonts w:ascii="Aptos" w:hAnsi="Aptos"/>
                <w:b/>
                <w:color w:val="FFFFFF"/>
                <w:sz w:val="16"/>
              </w:rPr>
              <w:t>p value</w:t>
            </w:r>
          </w:p>
        </w:tc>
        <w:tc>
          <w:tcPr>
            <w:tcW w:type="dxa" w:w="3024"/>
            <w:shd w:fill="1F4E78"/>
            <w:tcMar>
              <w:top w:w="85" w:type="dxa"/>
              <w:start w:w="95" w:type="dxa"/>
              <w:bottom w:w="85" w:type="dxa"/>
              <w:end w:w="95" w:type="dxa"/>
            </w:tcMar>
            <w:vAlign w:val="center"/>
          </w:tcPr>
          <w:p>
            <w:pPr>
              <w:jc w:val="center"/>
            </w:pPr>
            <w:r>
              <w:rPr>
                <w:rFonts w:ascii="Aptos" w:hAnsi="Aptos"/>
                <w:b/>
                <w:color w:val="FFFFFF"/>
                <w:sz w:val="16"/>
              </w:rPr>
              <w:t>Assessment</w:t>
            </w:r>
          </w:p>
        </w:tc>
      </w:tr>
      <w:tr>
        <w:trPr>
          <w:cantSplit w:val="true"/>
        </w:trPr>
        <w:tc>
          <w:tcPr>
            <w:tcW w:type="dxa" w:w="2016"/>
            <w:tcMar>
              <w:top w:w="85" w:type="dxa"/>
              <w:start w:w="95" w:type="dxa"/>
              <w:bottom w:w="85" w:type="dxa"/>
              <w:end w:w="95" w:type="dxa"/>
            </w:tcMar>
            <w:vAlign w:val="center"/>
          </w:tcPr>
          <w:p>
            <w:pPr>
              <w:keepLines/>
              <w:spacing w:after="0" w:line="240" w:lineRule="auto"/>
              <w:jc w:val="left"/>
            </w:pPr>
            <w:r>
              <w:rPr>
                <w:rFonts w:ascii="Aptos" w:hAnsi="Aptos"/>
                <w:sz w:val="16"/>
              </w:rPr>
              <w:t>method i</w:t>
            </w:r>
          </w:p>
        </w:tc>
        <w:tc>
          <w:tcPr>
            <w:tcW w:type="dxa" w:w="1152"/>
            <w:tcMar>
              <w:top w:w="85" w:type="dxa"/>
              <w:start w:w="95" w:type="dxa"/>
              <w:bottom w:w="85" w:type="dxa"/>
              <w:end w:w="95" w:type="dxa"/>
            </w:tcMar>
            <w:vAlign w:val="center"/>
          </w:tcPr>
          <w:p>
            <w:pPr>
              <w:keepLines/>
              <w:spacing w:after="0" w:line="240" w:lineRule="auto"/>
              <w:jc w:val="center"/>
            </w:pPr>
            <w:r>
              <w:rPr>
                <w:rFonts w:ascii="Aptos" w:hAnsi="Aptos"/>
                <w:sz w:val="16"/>
              </w:rPr>
              <w:t>29</w:t>
            </w:r>
          </w:p>
        </w:tc>
        <w:tc>
          <w:tcPr>
            <w:tcW w:type="dxa" w:w="1224"/>
            <w:tcMar>
              <w:top w:w="85" w:type="dxa"/>
              <w:start w:w="95" w:type="dxa"/>
              <w:bottom w:w="85" w:type="dxa"/>
              <w:end w:w="95" w:type="dxa"/>
            </w:tcMar>
            <w:vAlign w:val="center"/>
          </w:tcPr>
          <w:p>
            <w:pPr>
              <w:keepLines/>
              <w:spacing w:after="0" w:line="240" w:lineRule="auto"/>
              <w:jc w:val="center"/>
            </w:pPr>
            <w:r>
              <w:rPr>
                <w:rFonts w:ascii="Aptos" w:hAnsi="Aptos"/>
                <w:sz w:val="16"/>
              </w:rPr>
              <w:t>12.87</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0.98</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0.21</w:t>
            </w:r>
          </w:p>
        </w:tc>
        <w:tc>
          <w:tcPr>
            <w:tcW w:type="dxa" w:w="3024"/>
            <w:tcMar>
              <w:top w:w="85" w:type="dxa"/>
              <w:start w:w="95" w:type="dxa"/>
              <w:bottom w:w="85" w:type="dxa"/>
              <w:end w:w="95" w:type="dxa"/>
            </w:tcMar>
            <w:vAlign w:val="center"/>
          </w:tcPr>
          <w:p>
            <w:pPr>
              <w:keepLines/>
              <w:spacing w:after="0" w:line="240" w:lineRule="auto"/>
              <w:jc w:val="center"/>
            </w:pPr>
            <w:r>
              <w:rPr>
                <w:rFonts w:ascii="Aptos" w:hAnsi="Aptos"/>
                <w:sz w:val="16"/>
              </w:rPr>
              <w:t>Adequate</w:t>
            </w:r>
          </w:p>
        </w:tc>
      </w:tr>
      <w:tr>
        <w:trPr>
          <w:cantSplit w:val="true"/>
        </w:trPr>
        <w:tc>
          <w:tcPr>
            <w:tcW w:type="dxa" w:w="2016"/>
            <w:shd w:fill="F2F6FA"/>
            <w:tcMar>
              <w:top w:w="85" w:type="dxa"/>
              <w:start w:w="95" w:type="dxa"/>
              <w:bottom w:w="85" w:type="dxa"/>
              <w:end w:w="95" w:type="dxa"/>
            </w:tcMar>
            <w:vAlign w:val="center"/>
          </w:tcPr>
          <w:p>
            <w:pPr>
              <w:keepLines/>
              <w:spacing w:after="0" w:line="240" w:lineRule="auto"/>
              <w:jc w:val="left"/>
            </w:pPr>
            <w:r>
              <w:rPr>
                <w:rFonts w:ascii="Aptos" w:hAnsi="Aptos"/>
                <w:sz w:val="16"/>
              </w:rPr>
              <w:t>method ii</w:t>
            </w:r>
          </w:p>
        </w:tc>
        <w:tc>
          <w:tcPr>
            <w:tcW w:type="dxa" w:w="1152"/>
            <w:shd w:fill="F2F6FA"/>
            <w:tcMar>
              <w:top w:w="85" w:type="dxa"/>
              <w:start w:w="95" w:type="dxa"/>
              <w:bottom w:w="85" w:type="dxa"/>
              <w:end w:w="95" w:type="dxa"/>
            </w:tcMar>
            <w:vAlign w:val="center"/>
          </w:tcPr>
          <w:p>
            <w:pPr>
              <w:keepLines/>
              <w:spacing w:after="0" w:line="240" w:lineRule="auto"/>
              <w:jc w:val="center"/>
            </w:pPr>
            <w:r>
              <w:rPr>
                <w:rFonts w:ascii="Aptos" w:hAnsi="Aptos"/>
                <w:sz w:val="16"/>
              </w:rPr>
              <w:t>29</w:t>
            </w:r>
          </w:p>
        </w:tc>
        <w:tc>
          <w:tcPr>
            <w:tcW w:type="dxa" w:w="1224"/>
            <w:shd w:fill="F2F6FA"/>
            <w:tcMar>
              <w:top w:w="85" w:type="dxa"/>
              <w:start w:w="95" w:type="dxa"/>
              <w:bottom w:w="85" w:type="dxa"/>
              <w:end w:w="95" w:type="dxa"/>
            </w:tcMar>
            <w:vAlign w:val="center"/>
          </w:tcPr>
          <w:p>
            <w:pPr>
              <w:keepLines/>
              <w:spacing w:after="0" w:line="240" w:lineRule="auto"/>
              <w:jc w:val="center"/>
            </w:pPr>
            <w:r>
              <w:rPr>
                <w:rFonts w:ascii="Aptos" w:hAnsi="Aptos"/>
                <w:sz w:val="16"/>
              </w:rPr>
              <w:t>5.22</w:t>
            </w:r>
          </w:p>
        </w:tc>
        <w:tc>
          <w:tcPr>
            <w:tcW w:type="dxa" w:w="1440"/>
            <w:shd w:fill="F2F6FA"/>
            <w:tcMar>
              <w:top w:w="85" w:type="dxa"/>
              <w:start w:w="95" w:type="dxa"/>
              <w:bottom w:w="85" w:type="dxa"/>
              <w:end w:w="95" w:type="dxa"/>
            </w:tcMar>
            <w:vAlign w:val="center"/>
          </w:tcPr>
          <w:p>
            <w:pPr>
              <w:keepLines/>
              <w:spacing w:after="0" w:line="240" w:lineRule="auto"/>
              <w:jc w:val="center"/>
            </w:pPr>
            <w:r>
              <w:rPr>
                <w:rFonts w:ascii="Aptos" w:hAnsi="Aptos"/>
                <w:sz w:val="16"/>
              </w:rPr>
              <w:t>0.98</w:t>
            </w:r>
          </w:p>
        </w:tc>
        <w:tc>
          <w:tcPr>
            <w:tcW w:type="dxa" w:w="1440"/>
            <w:shd w:fill="F2F6FA"/>
            <w:tcMar>
              <w:top w:w="85" w:type="dxa"/>
              <w:start w:w="95" w:type="dxa"/>
              <w:bottom w:w="85" w:type="dxa"/>
              <w:end w:w="95" w:type="dxa"/>
            </w:tcMar>
            <w:vAlign w:val="center"/>
          </w:tcPr>
          <w:p>
            <w:pPr>
              <w:keepLines/>
              <w:spacing w:after="0" w:line="240" w:lineRule="auto"/>
              <w:jc w:val="center"/>
            </w:pPr>
            <w:r>
              <w:rPr>
                <w:rFonts w:ascii="Aptos" w:hAnsi="Aptos"/>
                <w:sz w:val="16"/>
              </w:rPr>
              <w:t>0.22</w:t>
            </w:r>
          </w:p>
        </w:tc>
        <w:tc>
          <w:tcPr>
            <w:tcW w:type="dxa" w:w="3024"/>
            <w:shd w:fill="F2F6FA"/>
            <w:tcMar>
              <w:top w:w="85" w:type="dxa"/>
              <w:start w:w="95" w:type="dxa"/>
              <w:bottom w:w="85" w:type="dxa"/>
              <w:end w:w="95" w:type="dxa"/>
            </w:tcMar>
            <w:vAlign w:val="center"/>
          </w:tcPr>
          <w:p>
            <w:pPr>
              <w:keepLines/>
              <w:spacing w:after="0" w:line="240" w:lineRule="auto"/>
              <w:jc w:val="center"/>
            </w:pPr>
            <w:r>
              <w:rPr>
                <w:rFonts w:ascii="Aptos" w:hAnsi="Aptos"/>
                <w:sz w:val="16"/>
              </w:rPr>
              <w:t>Adequate</w:t>
            </w:r>
          </w:p>
        </w:tc>
      </w:tr>
      <w:tr>
        <w:trPr>
          <w:cantSplit w:val="true"/>
        </w:trPr>
        <w:tc>
          <w:tcPr>
            <w:tcW w:type="dxa" w:w="2016"/>
            <w:tcMar>
              <w:top w:w="85" w:type="dxa"/>
              <w:start w:w="95" w:type="dxa"/>
              <w:bottom w:w="85" w:type="dxa"/>
              <w:end w:w="95" w:type="dxa"/>
            </w:tcMar>
            <w:vAlign w:val="center"/>
          </w:tcPr>
          <w:p>
            <w:pPr>
              <w:keepLines/>
              <w:spacing w:after="0" w:line="240" w:lineRule="auto"/>
              <w:jc w:val="left"/>
            </w:pPr>
            <w:r>
              <w:rPr>
                <w:rFonts w:ascii="Aptos" w:hAnsi="Aptos"/>
                <w:sz w:val="16"/>
              </w:rPr>
              <w:t>method iii</w:t>
            </w:r>
          </w:p>
        </w:tc>
        <w:tc>
          <w:tcPr>
            <w:tcW w:type="dxa" w:w="1152"/>
            <w:tcMar>
              <w:top w:w="85" w:type="dxa"/>
              <w:start w:w="95" w:type="dxa"/>
              <w:bottom w:w="85" w:type="dxa"/>
              <w:end w:w="95" w:type="dxa"/>
            </w:tcMar>
            <w:vAlign w:val="center"/>
          </w:tcPr>
          <w:p>
            <w:pPr>
              <w:keepLines/>
              <w:spacing w:after="0" w:line="240" w:lineRule="auto"/>
              <w:jc w:val="center"/>
            </w:pPr>
            <w:r>
              <w:rPr>
                <w:rFonts w:ascii="Aptos" w:hAnsi="Aptos"/>
                <w:sz w:val="16"/>
              </w:rPr>
              <w:t>29</w:t>
            </w:r>
          </w:p>
        </w:tc>
        <w:tc>
          <w:tcPr>
            <w:tcW w:type="dxa" w:w="1224"/>
            <w:tcMar>
              <w:top w:w="85" w:type="dxa"/>
              <w:start w:w="95" w:type="dxa"/>
              <w:bottom w:w="85" w:type="dxa"/>
              <w:end w:w="95" w:type="dxa"/>
            </w:tcMar>
            <w:vAlign w:val="center"/>
          </w:tcPr>
          <w:p>
            <w:pPr>
              <w:keepLines/>
              <w:spacing w:after="0" w:line="240" w:lineRule="auto"/>
              <w:jc w:val="center"/>
            </w:pPr>
            <w:r>
              <w:rPr>
                <w:rFonts w:ascii="Aptos" w:hAnsi="Aptos"/>
                <w:sz w:val="16"/>
              </w:rPr>
              <w:t>10.61</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0.98</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0.23</w:t>
            </w:r>
          </w:p>
        </w:tc>
        <w:tc>
          <w:tcPr>
            <w:tcW w:type="dxa" w:w="3024"/>
            <w:tcMar>
              <w:top w:w="85" w:type="dxa"/>
              <w:start w:w="95" w:type="dxa"/>
              <w:bottom w:w="85" w:type="dxa"/>
              <w:end w:w="95" w:type="dxa"/>
            </w:tcMar>
            <w:vAlign w:val="center"/>
          </w:tcPr>
          <w:p>
            <w:pPr>
              <w:keepLines/>
              <w:spacing w:after="0" w:line="240" w:lineRule="auto"/>
              <w:jc w:val="center"/>
            </w:pPr>
            <w:r>
              <w:rPr>
                <w:rFonts w:ascii="Aptos" w:hAnsi="Aptos"/>
                <w:sz w:val="16"/>
              </w:rPr>
              <w:t>Adequate</w:t>
            </w:r>
          </w:p>
        </w:tc>
      </w:tr>
      <w:tr>
        <w:trPr>
          <w:cantSplit w:val="true"/>
        </w:trPr>
        <w:tc>
          <w:tcPr>
            <w:tcW w:type="dxa" w:w="2016"/>
            <w:shd w:fill="F2F6FA"/>
            <w:tcMar>
              <w:top w:w="85" w:type="dxa"/>
              <w:start w:w="95" w:type="dxa"/>
              <w:bottom w:w="85" w:type="dxa"/>
              <w:end w:w="95" w:type="dxa"/>
            </w:tcMar>
            <w:vAlign w:val="center"/>
          </w:tcPr>
          <w:p>
            <w:pPr>
              <w:keepLines/>
              <w:spacing w:after="0" w:line="240" w:lineRule="auto"/>
              <w:jc w:val="left"/>
            </w:pPr>
            <w:r>
              <w:rPr>
                <w:rFonts w:ascii="Aptos" w:hAnsi="Aptos"/>
                <w:sz w:val="16"/>
              </w:rPr>
              <w:t>method iv</w:t>
            </w:r>
          </w:p>
        </w:tc>
        <w:tc>
          <w:tcPr>
            <w:tcW w:type="dxa" w:w="1152"/>
            <w:shd w:fill="F2F6FA"/>
            <w:tcMar>
              <w:top w:w="85" w:type="dxa"/>
              <w:start w:w="95" w:type="dxa"/>
              <w:bottom w:w="85" w:type="dxa"/>
              <w:end w:w="95" w:type="dxa"/>
            </w:tcMar>
            <w:vAlign w:val="center"/>
          </w:tcPr>
          <w:p>
            <w:pPr>
              <w:keepLines/>
              <w:spacing w:after="0" w:line="240" w:lineRule="auto"/>
              <w:jc w:val="center"/>
            </w:pPr>
            <w:r>
              <w:rPr>
                <w:rFonts w:ascii="Aptos" w:hAnsi="Aptos"/>
                <w:sz w:val="16"/>
              </w:rPr>
              <w:t>29</w:t>
            </w:r>
          </w:p>
        </w:tc>
        <w:tc>
          <w:tcPr>
            <w:tcW w:type="dxa" w:w="1224"/>
            <w:shd w:fill="F2F6FA"/>
            <w:tcMar>
              <w:top w:w="85" w:type="dxa"/>
              <w:start w:w="95" w:type="dxa"/>
              <w:bottom w:w="85" w:type="dxa"/>
              <w:end w:w="95" w:type="dxa"/>
            </w:tcMar>
            <w:vAlign w:val="center"/>
          </w:tcPr>
          <w:p>
            <w:pPr>
              <w:keepLines/>
              <w:spacing w:after="0" w:line="240" w:lineRule="auto"/>
              <w:jc w:val="center"/>
            </w:pPr>
            <w:r>
              <w:rPr>
                <w:rFonts w:ascii="Aptos" w:hAnsi="Aptos"/>
                <w:sz w:val="16"/>
              </w:rPr>
              <w:t>8.42</w:t>
            </w:r>
          </w:p>
        </w:tc>
        <w:tc>
          <w:tcPr>
            <w:tcW w:type="dxa" w:w="1440"/>
            <w:shd w:fill="F2F6FA"/>
            <w:tcMar>
              <w:top w:w="85" w:type="dxa"/>
              <w:start w:w="95" w:type="dxa"/>
              <w:bottom w:w="85" w:type="dxa"/>
              <w:end w:w="95" w:type="dxa"/>
            </w:tcMar>
            <w:vAlign w:val="center"/>
          </w:tcPr>
          <w:p>
            <w:pPr>
              <w:keepLines/>
              <w:spacing w:after="0" w:line="240" w:lineRule="auto"/>
              <w:jc w:val="center"/>
            </w:pPr>
            <w:r>
              <w:rPr>
                <w:rFonts w:ascii="Aptos" w:hAnsi="Aptos"/>
                <w:sz w:val="16"/>
              </w:rPr>
              <w:t>0.98</w:t>
            </w:r>
          </w:p>
        </w:tc>
        <w:tc>
          <w:tcPr>
            <w:tcW w:type="dxa" w:w="1440"/>
            <w:shd w:fill="F2F6FA"/>
            <w:tcMar>
              <w:top w:w="85" w:type="dxa"/>
              <w:start w:w="95" w:type="dxa"/>
              <w:bottom w:w="85" w:type="dxa"/>
              <w:end w:w="95" w:type="dxa"/>
            </w:tcMar>
            <w:vAlign w:val="center"/>
          </w:tcPr>
          <w:p>
            <w:pPr>
              <w:keepLines/>
              <w:spacing w:after="0" w:line="240" w:lineRule="auto"/>
              <w:jc w:val="center"/>
            </w:pPr>
            <w:r>
              <w:rPr>
                <w:rFonts w:ascii="Aptos" w:hAnsi="Aptos"/>
                <w:sz w:val="16"/>
              </w:rPr>
              <w:t>0.21</w:t>
            </w:r>
          </w:p>
        </w:tc>
        <w:tc>
          <w:tcPr>
            <w:tcW w:type="dxa" w:w="3024"/>
            <w:shd w:fill="F2F6FA"/>
            <w:tcMar>
              <w:top w:w="85" w:type="dxa"/>
              <w:start w:w="95" w:type="dxa"/>
              <w:bottom w:w="85" w:type="dxa"/>
              <w:end w:w="95" w:type="dxa"/>
            </w:tcMar>
            <w:vAlign w:val="center"/>
          </w:tcPr>
          <w:p>
            <w:pPr>
              <w:keepLines/>
              <w:spacing w:after="0" w:line="240" w:lineRule="auto"/>
              <w:jc w:val="center"/>
            </w:pPr>
            <w:r>
              <w:rPr>
                <w:rFonts w:ascii="Aptos" w:hAnsi="Aptos"/>
                <w:sz w:val="16"/>
              </w:rPr>
              <w:t>Adequate</w:t>
            </w:r>
          </w:p>
        </w:tc>
      </w:tr>
      <w:tr>
        <w:trPr>
          <w:cantSplit w:val="true"/>
        </w:trPr>
        <w:tc>
          <w:tcPr>
            <w:tcW w:type="dxa" w:w="2016"/>
            <w:tcMar>
              <w:top w:w="85" w:type="dxa"/>
              <w:start w:w="95" w:type="dxa"/>
              <w:bottom w:w="85" w:type="dxa"/>
              <w:end w:w="95" w:type="dxa"/>
            </w:tcMar>
            <w:vAlign w:val="center"/>
          </w:tcPr>
          <w:p>
            <w:pPr>
              <w:keepLines/>
              <w:spacing w:after="0" w:line="240" w:lineRule="auto"/>
              <w:jc w:val="left"/>
            </w:pPr>
            <w:r>
              <w:rPr>
                <w:rFonts w:ascii="Aptos" w:hAnsi="Aptos"/>
                <w:sz w:val="16"/>
              </w:rPr>
              <w:t>method v</w:t>
            </w:r>
          </w:p>
        </w:tc>
        <w:tc>
          <w:tcPr>
            <w:tcW w:type="dxa" w:w="1152"/>
            <w:tcMar>
              <w:top w:w="85" w:type="dxa"/>
              <w:start w:w="95" w:type="dxa"/>
              <w:bottom w:w="85" w:type="dxa"/>
              <w:end w:w="95" w:type="dxa"/>
            </w:tcMar>
            <w:vAlign w:val="center"/>
          </w:tcPr>
          <w:p>
            <w:pPr>
              <w:keepLines/>
              <w:spacing w:after="0" w:line="240" w:lineRule="auto"/>
              <w:jc w:val="center"/>
            </w:pPr>
            <w:r>
              <w:rPr>
                <w:rFonts w:ascii="Aptos" w:hAnsi="Aptos"/>
                <w:sz w:val="16"/>
              </w:rPr>
              <w:t>29</w:t>
            </w:r>
          </w:p>
        </w:tc>
        <w:tc>
          <w:tcPr>
            <w:tcW w:type="dxa" w:w="1224"/>
            <w:tcMar>
              <w:top w:w="85" w:type="dxa"/>
              <w:start w:w="95" w:type="dxa"/>
              <w:bottom w:w="85" w:type="dxa"/>
              <w:end w:w="95" w:type="dxa"/>
            </w:tcMar>
            <w:vAlign w:val="center"/>
          </w:tcPr>
          <w:p>
            <w:pPr>
              <w:keepLines/>
              <w:spacing w:after="0" w:line="240" w:lineRule="auto"/>
              <w:jc w:val="center"/>
            </w:pPr>
            <w:r>
              <w:rPr>
                <w:rFonts w:ascii="Aptos" w:hAnsi="Aptos"/>
                <w:sz w:val="16"/>
              </w:rPr>
              <w:t>6.38</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0.98</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0.14</w:t>
            </w:r>
          </w:p>
        </w:tc>
        <w:tc>
          <w:tcPr>
            <w:tcW w:type="dxa" w:w="3024"/>
            <w:tcMar>
              <w:top w:w="85" w:type="dxa"/>
              <w:start w:w="95" w:type="dxa"/>
              <w:bottom w:w="85" w:type="dxa"/>
              <w:end w:w="95" w:type="dxa"/>
            </w:tcMar>
            <w:vAlign w:val="center"/>
          </w:tcPr>
          <w:p>
            <w:pPr>
              <w:keepLines/>
              <w:spacing w:after="0" w:line="240" w:lineRule="auto"/>
              <w:jc w:val="center"/>
            </w:pPr>
            <w:r>
              <w:rPr>
                <w:rFonts w:ascii="Aptos" w:hAnsi="Aptos"/>
                <w:sz w:val="16"/>
              </w:rPr>
              <w:t>Adequate</w:t>
            </w:r>
          </w:p>
        </w:tc>
      </w:tr>
    </w:tbl>
    <w:p>
      <w:pPr>
        <w:spacing w:after="20"/>
      </w:pPr>
    </w:p>
    <w:p>
      <w:pPr>
        <w:keepNext/>
        <w:jc w:val="center"/>
      </w:pPr>
      <w:r>
        <w:drawing>
          <wp:inline xmlns:a="http://schemas.openxmlformats.org/drawingml/2006/main" xmlns:pic="http://schemas.openxmlformats.org/drawingml/2006/picture">
            <wp:extent cx="6236208" cy="4677156"/>
            <wp:docPr id="3" name="Picture 3"/>
            <wp:cNvGraphicFramePr>
              <a:graphicFrameLocks noChangeAspect="1"/>
            </wp:cNvGraphicFramePr>
            <a:graphic>
              <a:graphicData uri="http://schemas.openxmlformats.org/drawingml/2006/picture">
                <pic:pic>
                  <pic:nvPicPr>
                    <pic:cNvPr id="0" name="code_E_global_gam_check(6).png"/>
                    <pic:cNvPicPr/>
                  </pic:nvPicPr>
                  <pic:blipFill>
                    <a:blip r:embed="rId11"/>
                    <a:stretch>
                      <a:fillRect/>
                    </a:stretch>
                  </pic:blipFill>
                  <pic:spPr>
                    <a:xfrm>
                      <a:off x="0" y="0"/>
                      <a:ext cx="6236208" cy="4677156"/>
                    </a:xfrm>
                    <a:prstGeom prst="rect"/>
                  </pic:spPr>
                </pic:pic>
              </a:graphicData>
            </a:graphic>
          </wp:inline>
        </w:drawing>
      </w:r>
    </w:p>
    <w:p>
      <w:pPr>
        <w:pStyle w:val="FigureCaption"/>
        <w:jc w:val="left"/>
      </w:pPr>
      <w:r>
        <w:t>Figure 3. Global GAM diagnostic panel. The Q-Q plot and histogram show a pronounced right tail; residual-versus-predictor and response-versus-fitted panels show structured bands and increasing dispersion. These features concern the Gaussian variance model, not the adequacy of k.</w:t>
      </w:r>
    </w:p>
    <w:p>
      <w:pPr>
        <w:pStyle w:val="Heading2"/>
      </w:pPr>
      <w:r>
        <w:t>Residual adequacy</w:t>
      </w:r>
    </w:p>
    <w:p>
      <w:r>
        <w:t>The global residuals depart materially from Gaussian homoscedasticity. The Q-Q curve follows the reference line in the central range but bends sharply upward in the upper tail. The histogram is right-skewed with residuals extending toward 1.0. Residual variance changes with the linear predictor, and the banded response-versus-fitted structure indicates unmodeled factorial discreteness, metric-specific variance, or both. With 500,000 observations, coefficient estimates may remain stable, but conventional Gaussian standard errors and smooth-test p values can be anti-conservative under such misspecification.</w:t>
      </w:r>
    </w:p>
    <w:p>
      <w:r>
        <w:t>A stronger inferential analysis should compare the current fit with a location-scale GAM, metric-specific variance model, or robust likelihood. A Gamma response is not directly suitable if zero errors occur; a Tweedie model, scaled-t family, or two-part model can accommodate a point mass near zero and a continuous right tail. Cluster-robust or simulation-block bootstrap uncertainty would further protect against dependence among observations generated from the same scenario or simplex.</w:t>
      </w:r>
    </w:p>
    <w:p>
      <w:r>
        <w:br w:type="page"/>
      </w:r>
    </w:p>
    <w:p>
      <w:pPr>
        <w:pStyle w:val="Heading1"/>
      </w:pPr>
      <w:r>
        <w:t>4 Targeted Comparison of Methods v and iii</w:t>
      </w:r>
    </w:p>
    <w:p>
      <w:r>
        <w:t>The targeted model explains the magnitude of disagreement between v and iii. It does not retain the sign of v minus iii because the response is log1p(abs(diff)). Consequently, positive fitted values indicate greater absolute separation, not poorer performance by either named method. This distinction is fundamental: the model is suitable for robustness mapping but not for a local superiority map.</w:t>
      </w:r>
    </w:p>
    <w:p>
      <w:pPr>
        <w:pStyle w:val="Heading2"/>
      </w:pPr>
      <w:r>
        <w:t>Parametric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cantSplit w:val="true"/>
        </w:trPr>
        <w:tc>
          <w:tcPr>
            <w:tcW w:type="dxa" w:w="2520"/>
            <w:shd w:fill="1F4E78"/>
            <w:tcMar>
              <w:top w:w="85" w:type="dxa"/>
              <w:start w:w="95" w:type="dxa"/>
              <w:bottom w:w="85" w:type="dxa"/>
              <w:end w:w="95" w:type="dxa"/>
            </w:tcMar>
            <w:vAlign w:val="center"/>
          </w:tcPr>
          <w:p>
            <w:pPr>
              <w:jc w:val="center"/>
            </w:pPr>
            <w:r>
              <w:rPr>
                <w:rFonts w:ascii="Aptos" w:hAnsi="Aptos"/>
                <w:b/>
                <w:color w:val="FFFFFF"/>
                <w:sz w:val="16"/>
              </w:rPr>
              <w:t>Term</w:t>
            </w:r>
          </w:p>
        </w:tc>
        <w:tc>
          <w:tcPr>
            <w:tcW w:type="dxa" w:w="1512"/>
            <w:shd w:fill="1F4E78"/>
            <w:tcMar>
              <w:top w:w="85" w:type="dxa"/>
              <w:start w:w="95" w:type="dxa"/>
              <w:bottom w:w="85" w:type="dxa"/>
              <w:end w:w="95" w:type="dxa"/>
            </w:tcMar>
            <w:vAlign w:val="center"/>
          </w:tcPr>
          <w:p>
            <w:pPr>
              <w:jc w:val="center"/>
            </w:pPr>
            <w:r>
              <w:rPr>
                <w:rFonts w:ascii="Aptos" w:hAnsi="Aptos"/>
                <w:b/>
                <w:color w:val="FFFFFF"/>
                <w:sz w:val="16"/>
              </w:rPr>
              <w:t>Estimate</w:t>
            </w:r>
          </w:p>
        </w:tc>
        <w:tc>
          <w:tcPr>
            <w:tcW w:type="dxa" w:w="1440"/>
            <w:shd w:fill="1F4E78"/>
            <w:tcMar>
              <w:top w:w="85" w:type="dxa"/>
              <w:start w:w="95" w:type="dxa"/>
              <w:bottom w:w="85" w:type="dxa"/>
              <w:end w:w="95" w:type="dxa"/>
            </w:tcMar>
            <w:vAlign w:val="center"/>
          </w:tcPr>
          <w:p>
            <w:pPr>
              <w:jc w:val="center"/>
            </w:pPr>
            <w:r>
              <w:rPr>
                <w:rFonts w:ascii="Aptos" w:hAnsi="Aptos"/>
                <w:b/>
                <w:color w:val="FFFFFF"/>
                <w:sz w:val="16"/>
              </w:rPr>
              <w:t>t statistic</w:t>
            </w:r>
          </w:p>
        </w:tc>
        <w:tc>
          <w:tcPr>
            <w:tcW w:type="dxa" w:w="1584"/>
            <w:shd w:fill="1F4E78"/>
            <w:tcMar>
              <w:top w:w="85" w:type="dxa"/>
              <w:start w:w="95" w:type="dxa"/>
              <w:bottom w:w="85" w:type="dxa"/>
              <w:end w:w="95" w:type="dxa"/>
            </w:tcMar>
            <w:vAlign w:val="center"/>
          </w:tcPr>
          <w:p>
            <w:pPr>
              <w:jc w:val="center"/>
            </w:pPr>
            <w:r>
              <w:rPr>
                <w:rFonts w:ascii="Aptos" w:hAnsi="Aptos"/>
                <w:b/>
                <w:color w:val="FFFFFF"/>
                <w:sz w:val="16"/>
              </w:rPr>
              <w:t>p value</w:t>
            </w:r>
          </w:p>
        </w:tc>
        <w:tc>
          <w:tcPr>
            <w:tcW w:type="dxa" w:w="3528"/>
            <w:shd w:fill="1F4E78"/>
            <w:tcMar>
              <w:top w:w="85" w:type="dxa"/>
              <w:start w:w="95" w:type="dxa"/>
              <w:bottom w:w="85" w:type="dxa"/>
              <w:end w:w="95" w:type="dxa"/>
            </w:tcMar>
            <w:vAlign w:val="center"/>
          </w:tcPr>
          <w:p>
            <w:pPr>
              <w:jc w:val="center"/>
            </w:pPr>
            <w:r>
              <w:rPr>
                <w:rFonts w:ascii="Aptos" w:hAnsi="Aptos"/>
                <w:b/>
                <w:color w:val="FFFFFF"/>
                <w:sz w:val="16"/>
              </w:rPr>
              <w:t>Effect on disagreement magnitude</w:t>
            </w:r>
          </w:p>
        </w:tc>
      </w:tr>
      <w:tr>
        <w:trPr>
          <w:cantSplit w:val="true"/>
        </w:trPr>
        <w:tc>
          <w:tcPr>
            <w:tcW w:type="dxa" w:w="2520"/>
            <w:tcMar>
              <w:top w:w="85" w:type="dxa"/>
              <w:start w:w="95" w:type="dxa"/>
              <w:bottom w:w="85" w:type="dxa"/>
              <w:end w:w="95" w:type="dxa"/>
            </w:tcMar>
            <w:vAlign w:val="center"/>
          </w:tcPr>
          <w:p>
            <w:pPr>
              <w:keepLines/>
              <w:spacing w:after="0" w:line="240" w:lineRule="auto"/>
              <w:jc w:val="left"/>
            </w:pPr>
            <w:r>
              <w:rPr>
                <w:rFonts w:ascii="Aptos" w:hAnsi="Aptos"/>
                <w:sz w:val="16"/>
              </w:rPr>
              <w:t>sigma</w:t>
            </w:r>
          </w:p>
        </w:tc>
        <w:tc>
          <w:tcPr>
            <w:tcW w:type="dxa" w:w="1512"/>
            <w:tcMar>
              <w:top w:w="85" w:type="dxa"/>
              <w:start w:w="95" w:type="dxa"/>
              <w:bottom w:w="85" w:type="dxa"/>
              <w:end w:w="95" w:type="dxa"/>
            </w:tcMar>
            <w:vAlign w:val="center"/>
          </w:tcPr>
          <w:p>
            <w:pPr>
              <w:keepLines/>
              <w:spacing w:after="0" w:line="240" w:lineRule="auto"/>
              <w:jc w:val="center"/>
            </w:pPr>
            <w:r>
              <w:rPr>
                <w:rFonts w:ascii="Aptos" w:hAnsi="Aptos"/>
                <w:sz w:val="16"/>
              </w:rPr>
              <w:t>0.004793</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217.80</w:t>
            </w:r>
          </w:p>
        </w:tc>
        <w:tc>
          <w:tcPr>
            <w:tcW w:type="dxa" w:w="1584"/>
            <w:tcMar>
              <w:top w:w="85" w:type="dxa"/>
              <w:start w:w="95" w:type="dxa"/>
              <w:bottom w:w="85" w:type="dxa"/>
              <w:end w:w="95" w:type="dxa"/>
            </w:tcMar>
            <w:vAlign w:val="center"/>
          </w:tcPr>
          <w:p>
            <w:pPr>
              <w:keepLines/>
              <w:spacing w:after="0" w:line="240" w:lineRule="auto"/>
              <w:jc w:val="center"/>
            </w:pPr>
            <w:r>
              <w:rPr>
                <w:rFonts w:ascii="Aptos" w:hAnsi="Aptos"/>
                <w:sz w:val="16"/>
              </w:rPr>
              <w:t>&lt; 2e-16</w:t>
            </w:r>
          </w:p>
        </w:tc>
        <w:tc>
          <w:tcPr>
            <w:tcW w:type="dxa" w:w="3528"/>
            <w:tcMar>
              <w:top w:w="85" w:type="dxa"/>
              <w:start w:w="95" w:type="dxa"/>
              <w:bottom w:w="85" w:type="dxa"/>
              <w:end w:w="95" w:type="dxa"/>
            </w:tcMar>
            <w:vAlign w:val="center"/>
          </w:tcPr>
          <w:p>
            <w:pPr>
              <w:keepLines/>
              <w:spacing w:after="0" w:line="240" w:lineRule="auto"/>
              <w:jc w:val="left"/>
            </w:pPr>
            <w:r>
              <w:rPr>
                <w:rFonts w:ascii="Aptos" w:hAnsi="Aptos"/>
                <w:sz w:val="16"/>
              </w:rPr>
              <w:t>Largest increase</w:t>
            </w:r>
          </w:p>
        </w:tc>
      </w:tr>
      <w:tr>
        <w:trPr>
          <w:cantSplit w:val="true"/>
        </w:trPr>
        <w:tc>
          <w:tcPr>
            <w:tcW w:type="dxa" w:w="2520"/>
            <w:shd w:fill="F2F6FA"/>
            <w:tcMar>
              <w:top w:w="85" w:type="dxa"/>
              <w:start w:w="95" w:type="dxa"/>
              <w:bottom w:w="85" w:type="dxa"/>
              <w:end w:w="95" w:type="dxa"/>
            </w:tcMar>
            <w:vAlign w:val="center"/>
          </w:tcPr>
          <w:p>
            <w:pPr>
              <w:keepLines/>
              <w:spacing w:after="0" w:line="240" w:lineRule="auto"/>
              <w:jc w:val="left"/>
            </w:pPr>
            <w:r>
              <w:rPr>
                <w:rFonts w:ascii="Aptos" w:hAnsi="Aptos"/>
                <w:sz w:val="16"/>
              </w:rPr>
              <w:t>theta_true</w:t>
            </w:r>
          </w:p>
        </w:tc>
        <w:tc>
          <w:tcPr>
            <w:tcW w:type="dxa" w:w="1512"/>
            <w:shd w:fill="F2F6FA"/>
            <w:tcMar>
              <w:top w:w="85" w:type="dxa"/>
              <w:start w:w="95" w:type="dxa"/>
              <w:bottom w:w="85" w:type="dxa"/>
              <w:end w:w="95" w:type="dxa"/>
            </w:tcMar>
            <w:vAlign w:val="center"/>
          </w:tcPr>
          <w:p>
            <w:pPr>
              <w:keepLines/>
              <w:spacing w:after="0" w:line="240" w:lineRule="auto"/>
              <w:jc w:val="center"/>
            </w:pPr>
            <w:r>
              <w:rPr>
                <w:rFonts w:ascii="Aptos" w:hAnsi="Aptos"/>
                <w:sz w:val="16"/>
              </w:rPr>
              <w:t>-0.000741</w:t>
            </w:r>
          </w:p>
        </w:tc>
        <w:tc>
          <w:tcPr>
            <w:tcW w:type="dxa" w:w="1440"/>
            <w:shd w:fill="F2F6FA"/>
            <w:tcMar>
              <w:top w:w="85" w:type="dxa"/>
              <w:start w:w="95" w:type="dxa"/>
              <w:bottom w:w="85" w:type="dxa"/>
              <w:end w:w="95" w:type="dxa"/>
            </w:tcMar>
            <w:vAlign w:val="center"/>
          </w:tcPr>
          <w:p>
            <w:pPr>
              <w:keepLines/>
              <w:spacing w:after="0" w:line="240" w:lineRule="auto"/>
              <w:jc w:val="center"/>
            </w:pPr>
            <w:r>
              <w:rPr>
                <w:rFonts w:ascii="Aptos" w:hAnsi="Aptos"/>
                <w:sz w:val="16"/>
              </w:rPr>
              <w:t>-33.68</w:t>
            </w:r>
          </w:p>
        </w:tc>
        <w:tc>
          <w:tcPr>
            <w:tcW w:type="dxa" w:w="1584"/>
            <w:shd w:fill="F2F6FA"/>
            <w:tcMar>
              <w:top w:w="85" w:type="dxa"/>
              <w:start w:w="95" w:type="dxa"/>
              <w:bottom w:w="85" w:type="dxa"/>
              <w:end w:w="95" w:type="dxa"/>
            </w:tcMar>
            <w:vAlign w:val="center"/>
          </w:tcPr>
          <w:p>
            <w:pPr>
              <w:keepLines/>
              <w:spacing w:after="0" w:line="240" w:lineRule="auto"/>
              <w:jc w:val="center"/>
            </w:pPr>
            <w:r>
              <w:rPr>
                <w:rFonts w:ascii="Aptos" w:hAnsi="Aptos"/>
                <w:sz w:val="16"/>
              </w:rPr>
              <w:t>&lt; 2e-16</w:t>
            </w:r>
          </w:p>
        </w:tc>
        <w:tc>
          <w:tcPr>
            <w:tcW w:type="dxa" w:w="3528"/>
            <w:shd w:fill="F2F6FA"/>
            <w:tcMar>
              <w:top w:w="85" w:type="dxa"/>
              <w:start w:w="95" w:type="dxa"/>
              <w:bottom w:w="85" w:type="dxa"/>
              <w:end w:w="95" w:type="dxa"/>
            </w:tcMar>
            <w:vAlign w:val="center"/>
          </w:tcPr>
          <w:p>
            <w:pPr>
              <w:keepLines/>
              <w:spacing w:after="0" w:line="240" w:lineRule="auto"/>
              <w:jc w:val="left"/>
            </w:pPr>
            <w:r>
              <w:rPr>
                <w:rFonts w:ascii="Aptos" w:hAnsi="Aptos"/>
                <w:sz w:val="16"/>
              </w:rPr>
              <w:t>Moderate decrease</w:t>
            </w:r>
          </w:p>
        </w:tc>
      </w:tr>
      <w:tr>
        <w:trPr>
          <w:cantSplit w:val="true"/>
        </w:trPr>
        <w:tc>
          <w:tcPr>
            <w:tcW w:type="dxa" w:w="2520"/>
            <w:tcMar>
              <w:top w:w="85" w:type="dxa"/>
              <w:start w:w="95" w:type="dxa"/>
              <w:bottom w:w="85" w:type="dxa"/>
              <w:end w:w="95" w:type="dxa"/>
            </w:tcMar>
            <w:vAlign w:val="center"/>
          </w:tcPr>
          <w:p>
            <w:pPr>
              <w:keepLines/>
              <w:spacing w:after="0" w:line="240" w:lineRule="auto"/>
              <w:jc w:val="left"/>
            </w:pPr>
            <w:r>
              <w:rPr>
                <w:rFonts w:ascii="Aptos" w:hAnsi="Aptos"/>
                <w:sz w:val="16"/>
              </w:rPr>
              <w:t>G</w:t>
            </w:r>
          </w:p>
        </w:tc>
        <w:tc>
          <w:tcPr>
            <w:tcW w:type="dxa" w:w="1512"/>
            <w:tcMar>
              <w:top w:w="85" w:type="dxa"/>
              <w:start w:w="95" w:type="dxa"/>
              <w:bottom w:w="85" w:type="dxa"/>
              <w:end w:w="95" w:type="dxa"/>
            </w:tcMar>
            <w:vAlign w:val="center"/>
          </w:tcPr>
          <w:p>
            <w:pPr>
              <w:keepLines/>
              <w:spacing w:after="0" w:line="240" w:lineRule="auto"/>
              <w:jc w:val="center"/>
            </w:pPr>
            <w:r>
              <w:rPr>
                <w:rFonts w:ascii="Aptos" w:hAnsi="Aptos"/>
                <w:sz w:val="16"/>
              </w:rPr>
              <w:t>-0.000227</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-10.32</w:t>
            </w:r>
          </w:p>
        </w:tc>
        <w:tc>
          <w:tcPr>
            <w:tcW w:type="dxa" w:w="1584"/>
            <w:tcMar>
              <w:top w:w="85" w:type="dxa"/>
              <w:start w:w="95" w:type="dxa"/>
              <w:bottom w:w="85" w:type="dxa"/>
              <w:end w:w="95" w:type="dxa"/>
            </w:tcMar>
            <w:vAlign w:val="center"/>
          </w:tcPr>
          <w:p>
            <w:pPr>
              <w:keepLines/>
              <w:spacing w:after="0" w:line="240" w:lineRule="auto"/>
              <w:jc w:val="center"/>
            </w:pPr>
            <w:r>
              <w:rPr>
                <w:rFonts w:ascii="Aptos" w:hAnsi="Aptos"/>
                <w:sz w:val="16"/>
              </w:rPr>
              <w:t>&lt; 2e-16</w:t>
            </w:r>
          </w:p>
        </w:tc>
        <w:tc>
          <w:tcPr>
            <w:tcW w:type="dxa" w:w="3528"/>
            <w:tcMar>
              <w:top w:w="85" w:type="dxa"/>
              <w:start w:w="95" w:type="dxa"/>
              <w:bottom w:w="85" w:type="dxa"/>
              <w:end w:w="95" w:type="dxa"/>
            </w:tcMar>
            <w:vAlign w:val="center"/>
          </w:tcPr>
          <w:p>
            <w:pPr>
              <w:keepLines/>
              <w:spacing w:after="0" w:line="240" w:lineRule="auto"/>
              <w:jc w:val="left"/>
            </w:pPr>
            <w:r>
              <w:rPr>
                <w:rFonts w:ascii="Aptos" w:hAnsi="Aptos"/>
                <w:sz w:val="16"/>
              </w:rPr>
              <w:t>Small decrease</w:t>
            </w:r>
          </w:p>
        </w:tc>
      </w:tr>
      <w:tr>
        <w:trPr>
          <w:cantSplit w:val="true"/>
        </w:trPr>
        <w:tc>
          <w:tcPr>
            <w:tcW w:type="dxa" w:w="2520"/>
            <w:shd w:fill="F2F6FA"/>
            <w:tcMar>
              <w:top w:w="85" w:type="dxa"/>
              <w:start w:w="95" w:type="dxa"/>
              <w:bottom w:w="85" w:type="dxa"/>
              <w:end w:w="95" w:type="dxa"/>
            </w:tcMar>
            <w:vAlign w:val="center"/>
          </w:tcPr>
          <w:p>
            <w:pPr>
              <w:keepLines/>
              <w:spacing w:after="0" w:line="240" w:lineRule="auto"/>
              <w:jc w:val="left"/>
            </w:pPr>
            <w:r>
              <w:rPr>
                <w:rFonts w:ascii="Aptos" w:hAnsi="Aptos"/>
                <w:sz w:val="16"/>
              </w:rPr>
              <w:t>mean_nsamp</w:t>
            </w:r>
          </w:p>
        </w:tc>
        <w:tc>
          <w:tcPr>
            <w:tcW w:type="dxa" w:w="1512"/>
            <w:shd w:fill="F2F6FA"/>
            <w:tcMar>
              <w:top w:w="85" w:type="dxa"/>
              <w:start w:w="95" w:type="dxa"/>
              <w:bottom w:w="85" w:type="dxa"/>
              <w:end w:w="95" w:type="dxa"/>
            </w:tcMar>
            <w:vAlign w:val="center"/>
          </w:tcPr>
          <w:p>
            <w:pPr>
              <w:keepLines/>
              <w:spacing w:after="0" w:line="240" w:lineRule="auto"/>
              <w:jc w:val="center"/>
            </w:pPr>
            <w:r>
              <w:rPr>
                <w:rFonts w:ascii="Aptos" w:hAnsi="Aptos"/>
                <w:sz w:val="16"/>
              </w:rPr>
              <w:t>0.000184</w:t>
            </w:r>
          </w:p>
        </w:tc>
        <w:tc>
          <w:tcPr>
            <w:tcW w:type="dxa" w:w="1440"/>
            <w:shd w:fill="F2F6FA"/>
            <w:tcMar>
              <w:top w:w="85" w:type="dxa"/>
              <w:start w:w="95" w:type="dxa"/>
              <w:bottom w:w="85" w:type="dxa"/>
              <w:end w:w="95" w:type="dxa"/>
            </w:tcMar>
            <w:vAlign w:val="center"/>
          </w:tcPr>
          <w:p>
            <w:pPr>
              <w:keepLines/>
              <w:spacing w:after="0" w:line="240" w:lineRule="auto"/>
              <w:jc w:val="center"/>
            </w:pPr>
            <w:r>
              <w:rPr>
                <w:rFonts w:ascii="Aptos" w:hAnsi="Aptos"/>
                <w:sz w:val="16"/>
              </w:rPr>
              <w:t>8.37</w:t>
            </w:r>
          </w:p>
        </w:tc>
        <w:tc>
          <w:tcPr>
            <w:tcW w:type="dxa" w:w="1584"/>
            <w:shd w:fill="F2F6FA"/>
            <w:tcMar>
              <w:top w:w="85" w:type="dxa"/>
              <w:start w:w="95" w:type="dxa"/>
              <w:bottom w:w="85" w:type="dxa"/>
              <w:end w:w="95" w:type="dxa"/>
            </w:tcMar>
            <w:vAlign w:val="center"/>
          </w:tcPr>
          <w:p>
            <w:pPr>
              <w:keepLines/>
              <w:spacing w:after="0" w:line="240" w:lineRule="auto"/>
              <w:jc w:val="center"/>
            </w:pPr>
            <w:r>
              <w:rPr>
                <w:rFonts w:ascii="Aptos" w:hAnsi="Aptos"/>
                <w:sz w:val="16"/>
              </w:rPr>
              <w:t>&lt; 2e-16</w:t>
            </w:r>
          </w:p>
        </w:tc>
        <w:tc>
          <w:tcPr>
            <w:tcW w:type="dxa" w:w="3528"/>
            <w:shd w:fill="F2F6FA"/>
            <w:tcMar>
              <w:top w:w="85" w:type="dxa"/>
              <w:start w:w="95" w:type="dxa"/>
              <w:bottom w:w="85" w:type="dxa"/>
              <w:end w:w="95" w:type="dxa"/>
            </w:tcMar>
            <w:vAlign w:val="center"/>
          </w:tcPr>
          <w:p>
            <w:pPr>
              <w:keepLines/>
              <w:spacing w:after="0" w:line="240" w:lineRule="auto"/>
              <w:jc w:val="left"/>
            </w:pPr>
            <w:r>
              <w:rPr>
                <w:rFonts w:ascii="Aptos" w:hAnsi="Aptos"/>
                <w:sz w:val="16"/>
              </w:rPr>
              <w:t>Small increase</w:t>
            </w:r>
          </w:p>
        </w:tc>
      </w:tr>
      <w:tr>
        <w:trPr>
          <w:cantSplit w:val="true"/>
        </w:trPr>
        <w:tc>
          <w:tcPr>
            <w:tcW w:type="dxa" w:w="2520"/>
            <w:tcMar>
              <w:top w:w="85" w:type="dxa"/>
              <w:start w:w="95" w:type="dxa"/>
              <w:bottom w:w="85" w:type="dxa"/>
              <w:end w:w="95" w:type="dxa"/>
            </w:tcMar>
            <w:vAlign w:val="center"/>
          </w:tcPr>
          <w:p>
            <w:pPr>
              <w:keepLines/>
              <w:spacing w:after="0" w:line="240" w:lineRule="auto"/>
              <w:jc w:val="left"/>
            </w:pPr>
            <w:r>
              <w:rPr>
                <w:rFonts w:ascii="Aptos" w:hAnsi="Aptos"/>
                <w:sz w:val="16"/>
              </w:rPr>
              <w:t>theta_CV</w:t>
            </w:r>
          </w:p>
        </w:tc>
        <w:tc>
          <w:tcPr>
            <w:tcW w:type="dxa" w:w="1512"/>
            <w:tcMar>
              <w:top w:w="85" w:type="dxa"/>
              <w:start w:w="95" w:type="dxa"/>
              <w:bottom w:w="85" w:type="dxa"/>
              <w:end w:w="95" w:type="dxa"/>
            </w:tcMar>
            <w:vAlign w:val="center"/>
          </w:tcPr>
          <w:p>
            <w:pPr>
              <w:keepLines/>
              <w:spacing w:after="0" w:line="240" w:lineRule="auto"/>
              <w:jc w:val="center"/>
            </w:pPr>
            <w:r>
              <w:rPr>
                <w:rFonts w:ascii="Aptos" w:hAnsi="Aptos"/>
                <w:sz w:val="16"/>
              </w:rPr>
              <w:t>0.000132</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6.00</w:t>
            </w:r>
          </w:p>
        </w:tc>
        <w:tc>
          <w:tcPr>
            <w:tcW w:type="dxa" w:w="1584"/>
            <w:tcMar>
              <w:top w:w="85" w:type="dxa"/>
              <w:start w:w="95" w:type="dxa"/>
              <w:bottom w:w="85" w:type="dxa"/>
              <w:end w:w="95" w:type="dxa"/>
            </w:tcMar>
            <w:vAlign w:val="center"/>
          </w:tcPr>
          <w:p>
            <w:pPr>
              <w:keepLines/>
              <w:spacing w:after="0" w:line="240" w:lineRule="auto"/>
              <w:jc w:val="center"/>
            </w:pPr>
            <w:r>
              <w:rPr>
                <w:rFonts w:ascii="Aptos" w:hAnsi="Aptos"/>
                <w:sz w:val="16"/>
              </w:rPr>
              <w:t>1.98e-09</w:t>
            </w:r>
          </w:p>
        </w:tc>
        <w:tc>
          <w:tcPr>
            <w:tcW w:type="dxa" w:w="3528"/>
            <w:tcMar>
              <w:top w:w="85" w:type="dxa"/>
              <w:start w:w="95" w:type="dxa"/>
              <w:bottom w:w="85" w:type="dxa"/>
              <w:end w:w="95" w:type="dxa"/>
            </w:tcMar>
            <w:vAlign w:val="center"/>
          </w:tcPr>
          <w:p>
            <w:pPr>
              <w:keepLines/>
              <w:spacing w:after="0" w:line="240" w:lineRule="auto"/>
              <w:jc w:val="left"/>
            </w:pPr>
            <w:r>
              <w:rPr>
                <w:rFonts w:ascii="Aptos" w:hAnsi="Aptos"/>
                <w:sz w:val="16"/>
              </w:rPr>
              <w:t>Very small increase</w:t>
            </w:r>
          </w:p>
        </w:tc>
      </w:tr>
      <w:tr>
        <w:trPr>
          <w:cantSplit w:val="true"/>
        </w:trPr>
        <w:tc>
          <w:tcPr>
            <w:tcW w:type="dxa" w:w="2520"/>
            <w:shd w:fill="F2F6FA"/>
            <w:tcMar>
              <w:top w:w="85" w:type="dxa"/>
              <w:start w:w="95" w:type="dxa"/>
              <w:bottom w:w="85" w:type="dxa"/>
              <w:end w:w="95" w:type="dxa"/>
            </w:tcMar>
            <w:vAlign w:val="center"/>
          </w:tcPr>
          <w:p>
            <w:pPr>
              <w:keepLines/>
              <w:spacing w:after="0" w:line="240" w:lineRule="auto"/>
              <w:jc w:val="left"/>
            </w:pPr>
            <w:r>
              <w:rPr>
                <w:rFonts w:ascii="Aptos" w:hAnsi="Aptos"/>
                <w:sz w:val="16"/>
              </w:rPr>
              <w:t>Negative binomial block</w:t>
            </w:r>
          </w:p>
        </w:tc>
        <w:tc>
          <w:tcPr>
            <w:tcW w:type="dxa" w:w="1512"/>
            <w:shd w:fill="F2F6FA"/>
            <w:tcMar>
              <w:top w:w="85" w:type="dxa"/>
              <w:start w:w="95" w:type="dxa"/>
              <w:bottom w:w="85" w:type="dxa"/>
              <w:end w:w="95" w:type="dxa"/>
            </w:tcMar>
            <w:vAlign w:val="center"/>
          </w:tcPr>
          <w:p>
            <w:pPr>
              <w:keepLines/>
              <w:spacing w:after="0" w:line="240" w:lineRule="auto"/>
              <w:jc w:val="center"/>
            </w:pPr>
            <w:r>
              <w:rPr>
                <w:rFonts w:ascii="Aptos" w:hAnsi="Aptos"/>
                <w:sz w:val="16"/>
              </w:rPr>
              <w:t>-0.001724</w:t>
            </w:r>
          </w:p>
        </w:tc>
        <w:tc>
          <w:tcPr>
            <w:tcW w:type="dxa" w:w="1440"/>
            <w:shd w:fill="F2F6FA"/>
            <w:tcMar>
              <w:top w:w="85" w:type="dxa"/>
              <w:start w:w="95" w:type="dxa"/>
              <w:bottom w:w="85" w:type="dxa"/>
              <w:end w:w="95" w:type="dxa"/>
            </w:tcMar>
            <w:vAlign w:val="center"/>
          </w:tcPr>
          <w:p>
            <w:pPr>
              <w:keepLines/>
              <w:spacing w:after="0" w:line="240" w:lineRule="auto"/>
              <w:jc w:val="center"/>
            </w:pPr>
            <w:r>
              <w:rPr>
                <w:rFonts w:ascii="Aptos" w:hAnsi="Aptos"/>
                <w:sz w:val="16"/>
              </w:rPr>
              <w:t>-39.17</w:t>
            </w:r>
          </w:p>
        </w:tc>
        <w:tc>
          <w:tcPr>
            <w:tcW w:type="dxa" w:w="1584"/>
            <w:shd w:fill="F2F6FA"/>
            <w:tcMar>
              <w:top w:w="85" w:type="dxa"/>
              <w:start w:w="95" w:type="dxa"/>
              <w:bottom w:w="85" w:type="dxa"/>
              <w:end w:w="95" w:type="dxa"/>
            </w:tcMar>
            <w:vAlign w:val="center"/>
          </w:tcPr>
          <w:p>
            <w:pPr>
              <w:keepLines/>
              <w:spacing w:after="0" w:line="240" w:lineRule="auto"/>
              <w:jc w:val="center"/>
            </w:pPr>
            <w:r>
              <w:rPr>
                <w:rFonts w:ascii="Aptos" w:hAnsi="Aptos"/>
                <w:sz w:val="16"/>
              </w:rPr>
              <w:t>&lt; 2e-16</w:t>
            </w:r>
          </w:p>
        </w:tc>
        <w:tc>
          <w:tcPr>
            <w:tcW w:type="dxa" w:w="3528"/>
            <w:shd w:fill="F2F6FA"/>
            <w:tcMar>
              <w:top w:w="85" w:type="dxa"/>
              <w:start w:w="95" w:type="dxa"/>
              <w:bottom w:w="85" w:type="dxa"/>
              <w:end w:w="95" w:type="dxa"/>
            </w:tcMar>
            <w:vAlign w:val="center"/>
          </w:tcPr>
          <w:p>
            <w:pPr>
              <w:keepLines/>
              <w:spacing w:after="0" w:line="240" w:lineRule="auto"/>
              <w:jc w:val="left"/>
            </w:pPr>
            <w:r>
              <w:rPr>
                <w:rFonts w:ascii="Aptos" w:hAnsi="Aptos"/>
                <w:sz w:val="16"/>
              </w:rPr>
              <w:t>Lower than reference block</w:t>
            </w:r>
          </w:p>
        </w:tc>
      </w:tr>
      <w:tr>
        <w:trPr>
          <w:cantSplit w:val="true"/>
        </w:trPr>
        <w:tc>
          <w:tcPr>
            <w:tcW w:type="dxa" w:w="2520"/>
            <w:tcMar>
              <w:top w:w="85" w:type="dxa"/>
              <w:start w:w="95" w:type="dxa"/>
              <w:bottom w:w="85" w:type="dxa"/>
              <w:end w:w="95" w:type="dxa"/>
            </w:tcMar>
            <w:vAlign w:val="center"/>
          </w:tcPr>
          <w:p>
            <w:pPr>
              <w:keepLines/>
              <w:spacing w:after="0" w:line="240" w:lineRule="auto"/>
              <w:jc w:val="left"/>
            </w:pPr>
            <w:r>
              <w:rPr>
                <w:rFonts w:ascii="Aptos" w:hAnsi="Aptos"/>
                <w:sz w:val="16"/>
              </w:rPr>
              <w:t>Poisson block</w:t>
            </w:r>
          </w:p>
        </w:tc>
        <w:tc>
          <w:tcPr>
            <w:tcW w:type="dxa" w:w="1512"/>
            <w:tcMar>
              <w:top w:w="85" w:type="dxa"/>
              <w:start w:w="95" w:type="dxa"/>
              <w:bottom w:w="85" w:type="dxa"/>
              <w:end w:w="95" w:type="dxa"/>
            </w:tcMar>
            <w:vAlign w:val="center"/>
          </w:tcPr>
          <w:p>
            <w:pPr>
              <w:keepLines/>
              <w:spacing w:after="0" w:line="240" w:lineRule="auto"/>
              <w:jc w:val="center"/>
            </w:pPr>
            <w:r>
              <w:rPr>
                <w:rFonts w:ascii="Aptos" w:hAnsi="Aptos"/>
                <w:sz w:val="16"/>
              </w:rPr>
              <w:t>-0.001838</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-41.75</w:t>
            </w:r>
          </w:p>
        </w:tc>
        <w:tc>
          <w:tcPr>
            <w:tcW w:type="dxa" w:w="1584"/>
            <w:tcMar>
              <w:top w:w="85" w:type="dxa"/>
              <w:start w:w="95" w:type="dxa"/>
              <w:bottom w:w="85" w:type="dxa"/>
              <w:end w:w="95" w:type="dxa"/>
            </w:tcMar>
            <w:vAlign w:val="center"/>
          </w:tcPr>
          <w:p>
            <w:pPr>
              <w:keepLines/>
              <w:spacing w:after="0" w:line="240" w:lineRule="auto"/>
              <w:jc w:val="center"/>
            </w:pPr>
            <w:r>
              <w:rPr>
                <w:rFonts w:ascii="Aptos" w:hAnsi="Aptos"/>
                <w:sz w:val="16"/>
              </w:rPr>
              <w:t>&lt; 2e-16</w:t>
            </w:r>
          </w:p>
        </w:tc>
        <w:tc>
          <w:tcPr>
            <w:tcW w:type="dxa" w:w="3528"/>
            <w:tcMar>
              <w:top w:w="85" w:type="dxa"/>
              <w:start w:w="95" w:type="dxa"/>
              <w:bottom w:w="85" w:type="dxa"/>
              <w:end w:w="95" w:type="dxa"/>
            </w:tcMar>
            <w:vAlign w:val="center"/>
          </w:tcPr>
          <w:p>
            <w:pPr>
              <w:keepLines/>
              <w:spacing w:after="0" w:line="240" w:lineRule="auto"/>
              <w:jc w:val="left"/>
            </w:pPr>
            <w:r>
              <w:rPr>
                <w:rFonts w:ascii="Aptos" w:hAnsi="Aptos"/>
                <w:sz w:val="16"/>
              </w:rPr>
              <w:t>Lower than reference block</w:t>
            </w:r>
          </w:p>
        </w:tc>
      </w:tr>
    </w:tbl>
    <w:p>
      <w:pPr>
        <w:spacing w:after="20"/>
      </w:pPr>
    </w:p>
    <w:p>
      <w:r>
        <w:t>Sigma is overwhelmingly the dominant linear driver of v-iii separation. The positive coefficient means that the absolute gap grows as noise increases. Higher theta_true and G reduce the gap, while mean sample size and theta_CV increase it slightly. These coefficients act on log(1 + absolute difference); because the differences are small, percentage changes in 1 + difference can look numerically modest even when the relative change in the raw gap is meaningful.</w:t>
      </w:r>
    </w:p>
    <w:p>
      <w:r>
        <w:t>Relative to L1, the metric coefficients for Linf and RMSE are -0.00846 and -0.01200. At the centered surface and reference design, disagreement is therefore largest for L1, smaller for Linf, and smallest for RMSE. The metric-specific surfaces confirm that this ordering is not spatially uniform but is a useful overall characterization.</w:t>
      </w:r>
    </w:p>
    <w:p>
      <w:pPr>
        <w:pStyle w:val="Heading2"/>
      </w:pPr>
      <w:r>
        <w:t>Metric specific smooths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val="true"/>
          <w:cantSplit w:val="true"/>
        </w:trPr>
        <w:tc>
          <w:tcPr>
            <w:tcW w:type="dxa" w:w="1440"/>
            <w:shd w:fill="1F4E78"/>
            <w:tcMar>
              <w:top w:w="85" w:type="dxa"/>
              <w:start w:w="95" w:type="dxa"/>
              <w:bottom w:w="85" w:type="dxa"/>
              <w:end w:w="95" w:type="dxa"/>
            </w:tcMar>
            <w:vAlign w:val="center"/>
          </w:tcPr>
          <w:p>
            <w:pPr>
              <w:jc w:val="center"/>
            </w:pPr>
            <w:r>
              <w:rPr>
                <w:rFonts w:ascii="Aptos" w:hAnsi="Aptos"/>
                <w:b/>
                <w:color w:val="FFFFFF"/>
                <w:sz w:val="17"/>
              </w:rPr>
              <w:t>Metric</w:t>
            </w:r>
          </w:p>
        </w:tc>
        <w:tc>
          <w:tcPr>
            <w:tcW w:type="dxa" w:w="1656"/>
            <w:shd w:fill="1F4E78"/>
            <w:tcMar>
              <w:top w:w="85" w:type="dxa"/>
              <w:start w:w="95" w:type="dxa"/>
              <w:bottom w:w="85" w:type="dxa"/>
              <w:end w:w="95" w:type="dxa"/>
            </w:tcMar>
            <w:vAlign w:val="center"/>
          </w:tcPr>
          <w:p>
            <w:pPr>
              <w:jc w:val="center"/>
            </w:pPr>
            <w:r>
              <w:rPr>
                <w:rFonts w:ascii="Aptos" w:hAnsi="Aptos"/>
                <w:b/>
                <w:color w:val="FFFFFF"/>
                <w:sz w:val="17"/>
              </w:rPr>
              <w:t>edf of 29</w:t>
            </w:r>
          </w:p>
        </w:tc>
        <w:tc>
          <w:tcPr>
            <w:tcW w:type="dxa" w:w="1440"/>
            <w:shd w:fill="1F4E78"/>
            <w:tcMar>
              <w:top w:w="85" w:type="dxa"/>
              <w:start w:w="95" w:type="dxa"/>
              <w:bottom w:w="85" w:type="dxa"/>
              <w:end w:w="95" w:type="dxa"/>
            </w:tcMar>
            <w:vAlign w:val="center"/>
          </w:tcPr>
          <w:p>
            <w:pPr>
              <w:jc w:val="center"/>
            </w:pPr>
            <w:r>
              <w:rPr>
                <w:rFonts w:ascii="Aptos" w:hAnsi="Aptos"/>
                <w:b/>
                <w:color w:val="FFFFFF"/>
                <w:sz w:val="17"/>
              </w:rPr>
              <w:t>F</w:t>
            </w:r>
          </w:p>
        </w:tc>
        <w:tc>
          <w:tcPr>
            <w:tcW w:type="dxa" w:w="1656"/>
            <w:shd w:fill="1F4E78"/>
            <w:tcMar>
              <w:top w:w="85" w:type="dxa"/>
              <w:start w:w="95" w:type="dxa"/>
              <w:bottom w:w="85" w:type="dxa"/>
              <w:end w:w="95" w:type="dxa"/>
            </w:tcMar>
            <w:vAlign w:val="center"/>
          </w:tcPr>
          <w:p>
            <w:pPr>
              <w:jc w:val="center"/>
            </w:pPr>
            <w:r>
              <w:rPr>
                <w:rFonts w:ascii="Aptos" w:hAnsi="Aptos"/>
                <w:b/>
                <w:color w:val="FFFFFF"/>
                <w:sz w:val="17"/>
              </w:rPr>
              <w:t>p value</w:t>
            </w:r>
          </w:p>
        </w:tc>
        <w:tc>
          <w:tcPr>
            <w:tcW w:type="dxa" w:w="4320"/>
            <w:shd w:fill="1F4E78"/>
            <w:tcMar>
              <w:top w:w="85" w:type="dxa"/>
              <w:start w:w="95" w:type="dxa"/>
              <w:bottom w:w="85" w:type="dxa"/>
              <w:end w:w="95" w:type="dxa"/>
            </w:tcMar>
            <w:vAlign w:val="center"/>
          </w:tcPr>
          <w:p>
            <w:pPr>
              <w:jc w:val="center"/>
            </w:pPr>
            <w:r>
              <w:rPr>
                <w:rFonts w:ascii="Aptos" w:hAnsi="Aptos"/>
                <w:b/>
                <w:color w:val="FFFFFF"/>
                <w:sz w:val="17"/>
              </w:rPr>
              <w:t>Interpretation</w:t>
            </w:r>
          </w:p>
        </w:tc>
      </w:tr>
      <w:tr>
        <w:trPr>
          <w:cantSplit w:val="true"/>
        </w:trPr>
        <w:tc>
          <w:tcPr>
            <w:tcW w:type="dxa" w:w="1440"/>
            <w:tcMar>
              <w:top w:w="85" w:type="dxa"/>
              <w:start w:w="95" w:type="dxa"/>
              <w:bottom w:w="85" w:type="dxa"/>
              <w:end w:w="95" w:type="dxa"/>
            </w:tcMar>
            <w:vAlign w:val="center"/>
          </w:tcPr>
          <w:p>
            <w:pPr>
              <w:keepLines/>
              <w:spacing w:after="0" w:line="240" w:lineRule="auto"/>
              <w:jc w:val="left"/>
            </w:pPr>
            <w:r>
              <w:rPr>
                <w:rFonts w:ascii="Aptos" w:hAnsi="Aptos"/>
                <w:sz w:val="17"/>
              </w:rPr>
              <w:t>L1</w:t>
            </w:r>
          </w:p>
        </w:tc>
        <w:tc>
          <w:tcPr>
            <w:tcW w:type="dxa" w:w="1656"/>
            <w:tcMar>
              <w:top w:w="85" w:type="dxa"/>
              <w:start w:w="95" w:type="dxa"/>
              <w:bottom w:w="85" w:type="dxa"/>
              <w:end w:w="95" w:type="dxa"/>
            </w:tcMar>
            <w:vAlign w:val="center"/>
          </w:tcPr>
          <w:p>
            <w:pPr>
              <w:keepLines/>
              <w:spacing w:after="0" w:line="240" w:lineRule="auto"/>
              <w:jc w:val="center"/>
            </w:pPr>
            <w:r>
              <w:rPr>
                <w:rFonts w:ascii="Aptos" w:hAnsi="Aptos"/>
                <w:sz w:val="17"/>
              </w:rPr>
              <w:t>26.23</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7"/>
              </w:rPr>
              <w:t>207.59</w:t>
            </w:r>
          </w:p>
        </w:tc>
        <w:tc>
          <w:tcPr>
            <w:tcW w:type="dxa" w:w="1656"/>
            <w:tcMar>
              <w:top w:w="85" w:type="dxa"/>
              <w:start w:w="95" w:type="dxa"/>
              <w:bottom w:w="85" w:type="dxa"/>
              <w:end w:w="95" w:type="dxa"/>
            </w:tcMar>
            <w:vAlign w:val="center"/>
          </w:tcPr>
          <w:p>
            <w:pPr>
              <w:keepLines/>
              <w:spacing w:after="0" w:line="240" w:lineRule="auto"/>
              <w:jc w:val="center"/>
            </w:pPr>
            <w:r>
              <w:rPr>
                <w:rFonts w:ascii="Aptos" w:hAnsi="Aptos"/>
                <w:sz w:val="17"/>
              </w:rPr>
              <w:t>&lt; 2e-16</w:t>
            </w:r>
          </w:p>
        </w:tc>
        <w:tc>
          <w:tcPr>
            <w:tcW w:type="dxa" w:w="4320"/>
            <w:tcMar>
              <w:top w:w="85" w:type="dxa"/>
              <w:start w:w="95" w:type="dxa"/>
              <w:bottom w:w="85" w:type="dxa"/>
              <w:end w:w="95" w:type="dxa"/>
            </w:tcMar>
            <w:vAlign w:val="center"/>
          </w:tcPr>
          <w:p>
            <w:pPr>
              <w:keepLines/>
              <w:spacing w:after="0" w:line="240" w:lineRule="auto"/>
              <w:jc w:val="center"/>
            </w:pPr>
            <w:r>
              <w:rPr>
                <w:rFonts w:ascii="Aptos" w:hAnsi="Aptos"/>
                <w:sz w:val="17"/>
              </w:rPr>
              <w:t>Strongest and most detailed surface</w:t>
            </w:r>
          </w:p>
        </w:tc>
      </w:tr>
      <w:tr>
        <w:trPr>
          <w:cantSplit w:val="true"/>
        </w:trPr>
        <w:tc>
          <w:tcPr>
            <w:tcW w:type="dxa" w:w="1440"/>
            <w:shd w:fill="F2F6FA"/>
            <w:tcMar>
              <w:top w:w="85" w:type="dxa"/>
              <w:start w:w="95" w:type="dxa"/>
              <w:bottom w:w="85" w:type="dxa"/>
              <w:end w:w="95" w:type="dxa"/>
            </w:tcMar>
            <w:vAlign w:val="center"/>
          </w:tcPr>
          <w:p>
            <w:pPr>
              <w:keepLines/>
              <w:spacing w:after="0" w:line="240" w:lineRule="auto"/>
              <w:jc w:val="left"/>
            </w:pPr>
            <w:r>
              <w:rPr>
                <w:rFonts w:ascii="Aptos" w:hAnsi="Aptos"/>
                <w:sz w:val="17"/>
              </w:rPr>
              <w:t>Linf</w:t>
            </w:r>
          </w:p>
        </w:tc>
        <w:tc>
          <w:tcPr>
            <w:tcW w:type="dxa" w:w="1656"/>
            <w:shd w:fill="F2F6FA"/>
            <w:tcMar>
              <w:top w:w="85" w:type="dxa"/>
              <w:start w:w="95" w:type="dxa"/>
              <w:bottom w:w="85" w:type="dxa"/>
              <w:end w:w="95" w:type="dxa"/>
            </w:tcMar>
            <w:vAlign w:val="center"/>
          </w:tcPr>
          <w:p>
            <w:pPr>
              <w:keepLines/>
              <w:spacing w:after="0" w:line="240" w:lineRule="auto"/>
              <w:jc w:val="center"/>
            </w:pPr>
            <w:r>
              <w:rPr>
                <w:rFonts w:ascii="Aptos" w:hAnsi="Aptos"/>
                <w:sz w:val="17"/>
              </w:rPr>
              <w:t>23.41</w:t>
            </w:r>
          </w:p>
        </w:tc>
        <w:tc>
          <w:tcPr>
            <w:tcW w:type="dxa" w:w="1440"/>
            <w:shd w:fill="F2F6FA"/>
            <w:tcMar>
              <w:top w:w="85" w:type="dxa"/>
              <w:start w:w="95" w:type="dxa"/>
              <w:bottom w:w="85" w:type="dxa"/>
              <w:end w:w="95" w:type="dxa"/>
            </w:tcMar>
            <w:vAlign w:val="center"/>
          </w:tcPr>
          <w:p>
            <w:pPr>
              <w:keepLines/>
              <w:spacing w:after="0" w:line="240" w:lineRule="auto"/>
              <w:jc w:val="center"/>
            </w:pPr>
            <w:r>
              <w:rPr>
                <w:rFonts w:ascii="Aptos" w:hAnsi="Aptos"/>
                <w:sz w:val="17"/>
              </w:rPr>
              <w:t>70.32</w:t>
            </w:r>
          </w:p>
        </w:tc>
        <w:tc>
          <w:tcPr>
            <w:tcW w:type="dxa" w:w="1656"/>
            <w:shd w:fill="F2F6FA"/>
            <w:tcMar>
              <w:top w:w="85" w:type="dxa"/>
              <w:start w:w="95" w:type="dxa"/>
              <w:bottom w:w="85" w:type="dxa"/>
              <w:end w:w="95" w:type="dxa"/>
            </w:tcMar>
            <w:vAlign w:val="center"/>
          </w:tcPr>
          <w:p>
            <w:pPr>
              <w:keepLines/>
              <w:spacing w:after="0" w:line="240" w:lineRule="auto"/>
              <w:jc w:val="center"/>
            </w:pPr>
            <w:r>
              <w:rPr>
                <w:rFonts w:ascii="Aptos" w:hAnsi="Aptos"/>
                <w:sz w:val="17"/>
              </w:rPr>
              <w:t>&lt; 2e-16</w:t>
            </w:r>
          </w:p>
        </w:tc>
        <w:tc>
          <w:tcPr>
            <w:tcW w:type="dxa" w:w="4320"/>
            <w:shd w:fill="F2F6FA"/>
            <w:tcMar>
              <w:top w:w="85" w:type="dxa"/>
              <w:start w:w="95" w:type="dxa"/>
              <w:bottom w:w="85" w:type="dxa"/>
              <w:end w:w="95" w:type="dxa"/>
            </w:tcMar>
            <w:vAlign w:val="center"/>
          </w:tcPr>
          <w:p>
            <w:pPr>
              <w:keepLines/>
              <w:spacing w:after="0" w:line="240" w:lineRule="auto"/>
              <w:jc w:val="center"/>
            </w:pPr>
            <w:r>
              <w:rPr>
                <w:rFonts w:ascii="Aptos" w:hAnsi="Aptos"/>
                <w:sz w:val="17"/>
              </w:rPr>
              <w:t>Strong complex surface</w:t>
            </w:r>
          </w:p>
        </w:tc>
      </w:tr>
      <w:tr>
        <w:trPr>
          <w:cantSplit w:val="true"/>
        </w:trPr>
        <w:tc>
          <w:tcPr>
            <w:tcW w:type="dxa" w:w="1440"/>
            <w:tcMar>
              <w:top w:w="85" w:type="dxa"/>
              <w:start w:w="95" w:type="dxa"/>
              <w:bottom w:w="85" w:type="dxa"/>
              <w:end w:w="95" w:type="dxa"/>
            </w:tcMar>
            <w:vAlign w:val="center"/>
          </w:tcPr>
          <w:p>
            <w:pPr>
              <w:keepLines/>
              <w:spacing w:after="0" w:line="240" w:lineRule="auto"/>
              <w:jc w:val="left"/>
            </w:pPr>
            <w:r>
              <w:rPr>
                <w:rFonts w:ascii="Aptos" w:hAnsi="Aptos"/>
                <w:sz w:val="17"/>
              </w:rPr>
              <w:t>RMSE</w:t>
            </w:r>
          </w:p>
        </w:tc>
        <w:tc>
          <w:tcPr>
            <w:tcW w:type="dxa" w:w="1656"/>
            <w:tcMar>
              <w:top w:w="85" w:type="dxa"/>
              <w:start w:w="95" w:type="dxa"/>
              <w:bottom w:w="85" w:type="dxa"/>
              <w:end w:w="95" w:type="dxa"/>
            </w:tcMar>
            <w:vAlign w:val="center"/>
          </w:tcPr>
          <w:p>
            <w:pPr>
              <w:keepLines/>
              <w:spacing w:after="0" w:line="240" w:lineRule="auto"/>
              <w:jc w:val="center"/>
            </w:pPr>
            <w:r>
              <w:rPr>
                <w:rFonts w:ascii="Aptos" w:hAnsi="Aptos"/>
                <w:sz w:val="17"/>
              </w:rPr>
              <w:t>18.58</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7"/>
              </w:rPr>
              <w:t>12.78</w:t>
            </w:r>
          </w:p>
        </w:tc>
        <w:tc>
          <w:tcPr>
            <w:tcW w:type="dxa" w:w="1656"/>
            <w:tcMar>
              <w:top w:w="85" w:type="dxa"/>
              <w:start w:w="95" w:type="dxa"/>
              <w:bottom w:w="85" w:type="dxa"/>
              <w:end w:w="95" w:type="dxa"/>
            </w:tcMar>
            <w:vAlign w:val="center"/>
          </w:tcPr>
          <w:p>
            <w:pPr>
              <w:keepLines/>
              <w:spacing w:after="0" w:line="240" w:lineRule="auto"/>
              <w:jc w:val="center"/>
            </w:pPr>
            <w:r>
              <w:rPr>
                <w:rFonts w:ascii="Aptos" w:hAnsi="Aptos"/>
                <w:sz w:val="17"/>
              </w:rPr>
              <w:t>&lt; 2e-16</w:t>
            </w:r>
          </w:p>
        </w:tc>
        <w:tc>
          <w:tcPr>
            <w:tcW w:type="dxa" w:w="4320"/>
            <w:tcMar>
              <w:top w:w="85" w:type="dxa"/>
              <w:start w:w="95" w:type="dxa"/>
              <w:bottom w:w="85" w:type="dxa"/>
              <w:end w:w="95" w:type="dxa"/>
            </w:tcMar>
            <w:vAlign w:val="center"/>
          </w:tcPr>
          <w:p>
            <w:pPr>
              <w:keepLines/>
              <w:spacing w:after="0" w:line="240" w:lineRule="auto"/>
              <w:jc w:val="center"/>
            </w:pPr>
            <w:r>
              <w:rPr>
                <w:rFonts w:ascii="Aptos" w:hAnsi="Aptos"/>
                <w:sz w:val="17"/>
              </w:rPr>
              <w:t>Smaller but clear surface</w:t>
            </w:r>
          </w:p>
        </w:tc>
      </w:tr>
    </w:tbl>
    <w:p>
      <w:pPr>
        <w:spacing w:after="20"/>
      </w:pPr>
    </w:p>
    <w:p>
      <w:r>
        <w:t>All three surfaces are highly significant. L1 uses 26.2 of the 29 available degrees of freedom, and Linf uses 23.4. The k-index does not diagnose under-dimensioning, but the proximity of L1 edf to k-prime justifies a sensitivity refit at k = 40 or 50. Stability should be judged by comparing fitted surfaces and uncertainty, not by seeking a different p value.</w:t>
      </w:r>
    </w:p>
    <w:p>
      <w:pPr>
        <w:keepNext/>
        <w:jc w:val="center"/>
      </w:pPr>
      <w:r>
        <w:drawing>
          <wp:inline xmlns:a="http://schemas.openxmlformats.org/drawingml/2006/main" xmlns:pic="http://schemas.openxmlformats.org/drawingml/2006/picture">
            <wp:extent cx="6236208" cy="4156457"/>
            <wp:docPr id="4" name="Picture 4"/>
            <wp:cNvGraphicFramePr>
              <a:graphicFrameLocks noChangeAspect="1"/>
            </wp:cNvGraphicFramePr>
            <a:graphic>
              <a:graphicData uri="http://schemas.openxmlformats.org/drawingml/2006/picture">
                <pic:pic>
                  <pic:nvPicPr>
                    <pic:cNvPr id="0" name="code_E_diff_v_iii_gratia_smooths(6).png"/>
                    <pic:cNvPicPr/>
                  </pic:nvPicPr>
                  <pic:blipFill>
                    <a:blip r:embed="rId12"/>
                    <a:stretch>
                      <a:fillRect/>
                    </a:stretch>
                  </pic:blipFill>
                  <pic:spPr>
                    <a:xfrm>
                      <a:off x="0" y="0"/>
                      <a:ext cx="6236208" cy="4156457"/>
                    </a:xfrm>
                    <a:prstGeom prst="rect"/>
                  </pic:spPr>
                </pic:pic>
              </a:graphicData>
            </a:graphic>
          </wp:inline>
        </w:drawing>
      </w:r>
    </w:p>
    <w:p>
      <w:pPr>
        <w:pStyle w:val="FigureCaption"/>
        <w:jc w:val="left"/>
      </w:pPr>
      <w:r>
        <w:t>Figure 4. Centered p1-p2 partial effects for the absolute v-iii difference by metric. The surfaces share a central region of relatively small disagreement and stronger boundary behavior. Panel-specific color scales should not be used to compare absolute magnitude among metrics.</w:t>
      </w:r>
    </w:p>
    <w:p>
      <w:r>
        <w:br w:type="page"/>
      </w:r>
    </w:p>
    <w:p>
      <w:pPr>
        <w:pStyle w:val="Heading1"/>
      </w:pPr>
      <w:r>
        <w:t>5 Spatial Pattern of v and iii Disagreement</w:t>
      </w:r>
    </w:p>
    <w:p>
      <w:pPr>
        <w:keepNext/>
        <w:jc w:val="center"/>
      </w:pPr>
      <w:r>
        <w:drawing>
          <wp:inline xmlns:a="http://schemas.openxmlformats.org/drawingml/2006/main" xmlns:pic="http://schemas.openxmlformats.org/drawingml/2006/picture">
            <wp:extent cx="6236208" cy="4156457"/>
            <wp:docPr id="5" name="Picture 5"/>
            <wp:cNvGraphicFramePr>
              <a:graphicFrameLocks noChangeAspect="1"/>
            </wp:cNvGraphicFramePr>
            <a:graphic>
              <a:graphicData uri="http://schemas.openxmlformats.org/drawingml/2006/picture">
                <pic:pic>
                  <pic:nvPicPr>
                    <pic:cNvPr id="0" name="code_E_diff_v_iii_metric_surfaces_panel(7).png"/>
                    <pic:cNvPicPr/>
                  </pic:nvPicPr>
                  <pic:blipFill>
                    <a:blip r:embed="rId13"/>
                    <a:stretch>
                      <a:fillRect/>
                    </a:stretch>
                  </pic:blipFill>
                  <pic:spPr>
                    <a:xfrm>
                      <a:off x="0" y="0"/>
                      <a:ext cx="6236208" cy="4156457"/>
                    </a:xfrm>
                    <a:prstGeom prst="rect"/>
                  </pic:spPr>
                </pic:pic>
              </a:graphicData>
            </a:graphic>
          </wp:inline>
        </w:drawing>
      </w:r>
    </w:p>
    <w:p>
      <w:pPr>
        <w:pStyle w:val="FigureCaption"/>
        <w:jc w:val="left"/>
      </w:pPr>
      <w:r>
        <w:t>Figure 5. Full fitted surfaces for log1p absolute v-iii differences by metric. Contours show the magnitude of separation. They do not show its sign and therefore cannot identify the locally superior method.</w:t>
      </w:r>
    </w:p>
    <w:p>
      <w:r>
        <w:t>The three metrics share a clear topography. The absolute v-iii gap is comparatively small through the lower-left and central simplex, then rises along a diagonal toward simultaneously large p1 and p2. This boundary escalation is strongest for L1, where contours rise from roughly 0.01 in the interior to 0.08-0.10 near the upper-right edge. Linf rises from about 0.005 to 0.025-0.03, and RMSE rises from approximately 0.003-0.004 to 0.009-0.010. Thus, the two leading methods agree most closely for balanced or moderate compositions and diverge most for compositions concentrated in the first two coordinates.</w:t>
      </w:r>
    </w:p>
    <w:p>
      <w:r>
        <w:t>The surface also contains localized departures from the diagonal gradient. L1 has a shallow low-separation basin near p1 = 0.2 and p2 = 0.2. RMSE shows a small interior feature in the same region. These structures are statistically supported but modest in magnitude. Near the extreme edges, uncertainty should be displayed explicitly because data are sparse and the smooth is extrapolating across fewer nearby compositions.</w:t>
      </w:r>
    </w:p>
    <w:p>
      <w:r>
        <w:t>A signed follow-up model should replace abs(diff) with a direct contrast such as log(error_v + epsilon) minus log(error_iii + epsilon). Contours at zero and simultaneous confidence bands would then identify whether the methods cross and where any superiority is supported. Without that refit, the present surfaces should be described only as maps of disagreement.</w:t>
      </w:r>
    </w:p>
    <w:p>
      <w:pPr>
        <w:pStyle w:val="Heading2"/>
      </w:pPr>
      <w:r>
        <w:t>Difference model diagnostics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66"/>
        <w:gridCol w:w="1666"/>
        <w:gridCol w:w="1666"/>
        <w:gridCol w:w="1666"/>
        <w:gridCol w:w="1666"/>
        <w:gridCol w:w="1666"/>
      </w:tblGrid>
      <w:tr>
        <w:trPr>
          <w:tblHeader w:val="true"/>
          <w:cantSplit w:val="true"/>
        </w:trPr>
        <w:tc>
          <w:tcPr>
            <w:tcW w:type="dxa" w:w="1440"/>
            <w:shd w:fill="1F4E78"/>
            <w:tcMar>
              <w:top w:w="85" w:type="dxa"/>
              <w:start w:w="95" w:type="dxa"/>
              <w:bottom w:w="85" w:type="dxa"/>
              <w:end w:w="95" w:type="dxa"/>
            </w:tcMar>
            <w:vAlign w:val="center"/>
          </w:tcPr>
          <w:p>
            <w:pPr>
              <w:jc w:val="center"/>
            </w:pPr>
            <w:r>
              <w:rPr>
                <w:rFonts w:ascii="Aptos" w:hAnsi="Aptos"/>
                <w:b/>
                <w:color w:val="FFFFFF"/>
                <w:sz w:val="16"/>
              </w:rPr>
              <w:t>Smooth</w:t>
            </w:r>
          </w:p>
        </w:tc>
        <w:tc>
          <w:tcPr>
            <w:tcW w:type="dxa" w:w="1296"/>
            <w:shd w:fill="1F4E78"/>
            <w:tcMar>
              <w:top w:w="85" w:type="dxa"/>
              <w:start w:w="95" w:type="dxa"/>
              <w:bottom w:w="85" w:type="dxa"/>
              <w:end w:w="95" w:type="dxa"/>
            </w:tcMar>
            <w:vAlign w:val="center"/>
          </w:tcPr>
          <w:p>
            <w:pPr>
              <w:jc w:val="center"/>
            </w:pPr>
            <w:r>
              <w:rPr>
                <w:rFonts w:ascii="Aptos" w:hAnsi="Aptos"/>
                <w:b/>
                <w:color w:val="FFFFFF"/>
                <w:sz w:val="16"/>
              </w:rPr>
              <w:t>k prime</w:t>
            </w:r>
          </w:p>
        </w:tc>
        <w:tc>
          <w:tcPr>
            <w:tcW w:type="dxa" w:w="1296"/>
            <w:shd w:fill="1F4E78"/>
            <w:tcMar>
              <w:top w:w="85" w:type="dxa"/>
              <w:start w:w="95" w:type="dxa"/>
              <w:bottom w:w="85" w:type="dxa"/>
              <w:end w:w="95" w:type="dxa"/>
            </w:tcMar>
            <w:vAlign w:val="center"/>
          </w:tcPr>
          <w:p>
            <w:pPr>
              <w:jc w:val="center"/>
            </w:pPr>
            <w:r>
              <w:rPr>
                <w:rFonts w:ascii="Aptos" w:hAnsi="Aptos"/>
                <w:b/>
                <w:color w:val="FFFFFF"/>
                <w:sz w:val="16"/>
              </w:rPr>
              <w:t>edf</w:t>
            </w:r>
          </w:p>
        </w:tc>
        <w:tc>
          <w:tcPr>
            <w:tcW w:type="dxa" w:w="1440"/>
            <w:shd w:fill="1F4E78"/>
            <w:tcMar>
              <w:top w:w="85" w:type="dxa"/>
              <w:start w:w="95" w:type="dxa"/>
              <w:bottom w:w="85" w:type="dxa"/>
              <w:end w:w="95" w:type="dxa"/>
            </w:tcMar>
            <w:vAlign w:val="center"/>
          </w:tcPr>
          <w:p>
            <w:pPr>
              <w:jc w:val="center"/>
            </w:pPr>
            <w:r>
              <w:rPr>
                <w:rFonts w:ascii="Aptos" w:hAnsi="Aptos"/>
                <w:b/>
                <w:color w:val="FFFFFF"/>
                <w:sz w:val="16"/>
              </w:rPr>
              <w:t>k index</w:t>
            </w:r>
          </w:p>
        </w:tc>
        <w:tc>
          <w:tcPr>
            <w:tcW w:type="dxa" w:w="1440"/>
            <w:shd w:fill="1F4E78"/>
            <w:tcMar>
              <w:top w:w="85" w:type="dxa"/>
              <w:start w:w="95" w:type="dxa"/>
              <w:bottom w:w="85" w:type="dxa"/>
              <w:end w:w="95" w:type="dxa"/>
            </w:tcMar>
            <w:vAlign w:val="center"/>
          </w:tcPr>
          <w:p>
            <w:pPr>
              <w:jc w:val="center"/>
            </w:pPr>
            <w:r>
              <w:rPr>
                <w:rFonts w:ascii="Aptos" w:hAnsi="Aptos"/>
                <w:b/>
                <w:color w:val="FFFFFF"/>
                <w:sz w:val="16"/>
              </w:rPr>
              <w:t>p value</w:t>
            </w:r>
          </w:p>
        </w:tc>
        <w:tc>
          <w:tcPr>
            <w:tcW w:type="dxa" w:w="4320"/>
            <w:shd w:fill="1F4E78"/>
            <w:tcMar>
              <w:top w:w="85" w:type="dxa"/>
              <w:start w:w="95" w:type="dxa"/>
              <w:bottom w:w="85" w:type="dxa"/>
              <w:end w:w="95" w:type="dxa"/>
            </w:tcMar>
            <w:vAlign w:val="center"/>
          </w:tcPr>
          <w:p>
            <w:pPr>
              <w:jc w:val="center"/>
            </w:pPr>
            <w:r>
              <w:rPr>
                <w:rFonts w:ascii="Aptos" w:hAnsi="Aptos"/>
                <w:b/>
                <w:color w:val="FFFFFF"/>
                <w:sz w:val="16"/>
              </w:rPr>
              <w:t>Assessment</w:t>
            </w:r>
          </w:p>
        </w:tc>
      </w:tr>
      <w:tr>
        <w:trPr>
          <w:cantSplit w:val="true"/>
        </w:trPr>
        <w:tc>
          <w:tcPr>
            <w:tcW w:type="dxa" w:w="1440"/>
            <w:tcMar>
              <w:top w:w="85" w:type="dxa"/>
              <w:start w:w="95" w:type="dxa"/>
              <w:bottom w:w="85" w:type="dxa"/>
              <w:end w:w="95" w:type="dxa"/>
            </w:tcMar>
            <w:vAlign w:val="center"/>
          </w:tcPr>
          <w:p>
            <w:pPr>
              <w:keepLines/>
              <w:spacing w:after="0" w:line="240" w:lineRule="auto"/>
              <w:jc w:val="left"/>
            </w:pPr>
            <w:r>
              <w:rPr>
                <w:rFonts w:ascii="Aptos" w:hAnsi="Aptos"/>
                <w:sz w:val="16"/>
              </w:rPr>
              <w:t>L1</w:t>
            </w:r>
          </w:p>
        </w:tc>
        <w:tc>
          <w:tcPr>
            <w:tcW w:type="dxa" w:w="1296"/>
            <w:tcMar>
              <w:top w:w="85" w:type="dxa"/>
              <w:start w:w="95" w:type="dxa"/>
              <w:bottom w:w="85" w:type="dxa"/>
              <w:end w:w="95" w:type="dxa"/>
            </w:tcMar>
            <w:vAlign w:val="center"/>
          </w:tcPr>
          <w:p>
            <w:pPr>
              <w:keepLines/>
              <w:spacing w:after="0" w:line="240" w:lineRule="auto"/>
              <w:jc w:val="center"/>
            </w:pPr>
            <w:r>
              <w:rPr>
                <w:rFonts w:ascii="Aptos" w:hAnsi="Aptos"/>
                <w:sz w:val="16"/>
              </w:rPr>
              <w:t>29</w:t>
            </w:r>
          </w:p>
        </w:tc>
        <w:tc>
          <w:tcPr>
            <w:tcW w:type="dxa" w:w="1296"/>
            <w:tcMar>
              <w:top w:w="85" w:type="dxa"/>
              <w:start w:w="95" w:type="dxa"/>
              <w:bottom w:w="85" w:type="dxa"/>
              <w:end w:w="95" w:type="dxa"/>
            </w:tcMar>
            <w:vAlign w:val="center"/>
          </w:tcPr>
          <w:p>
            <w:pPr>
              <w:keepLines/>
              <w:spacing w:after="0" w:line="240" w:lineRule="auto"/>
              <w:jc w:val="center"/>
            </w:pPr>
            <w:r>
              <w:rPr>
                <w:rFonts w:ascii="Aptos" w:hAnsi="Aptos"/>
                <w:sz w:val="16"/>
              </w:rPr>
              <w:t>26.2</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1.04</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0.85</w:t>
            </w:r>
          </w:p>
        </w:tc>
        <w:tc>
          <w:tcPr>
            <w:tcW w:type="dxa" w:w="4320"/>
            <w:tcMar>
              <w:top w:w="85" w:type="dxa"/>
              <w:start w:w="95" w:type="dxa"/>
              <w:bottom w:w="85" w:type="dxa"/>
              <w:end w:w="95" w:type="dxa"/>
            </w:tcMar>
            <w:vAlign w:val="center"/>
          </w:tcPr>
          <w:p>
            <w:pPr>
              <w:keepLines/>
              <w:spacing w:after="0" w:line="240" w:lineRule="auto"/>
              <w:jc w:val="center"/>
            </w:pPr>
            <w:r>
              <w:rPr>
                <w:rFonts w:ascii="Aptos" w:hAnsi="Aptos"/>
                <w:sz w:val="16"/>
              </w:rPr>
              <w:t>Pass; larger-k sensitivity advisable</w:t>
            </w:r>
          </w:p>
        </w:tc>
      </w:tr>
      <w:tr>
        <w:trPr>
          <w:cantSplit w:val="true"/>
        </w:trPr>
        <w:tc>
          <w:tcPr>
            <w:tcW w:type="dxa" w:w="1440"/>
            <w:shd w:fill="F2F6FA"/>
            <w:tcMar>
              <w:top w:w="85" w:type="dxa"/>
              <w:start w:w="95" w:type="dxa"/>
              <w:bottom w:w="85" w:type="dxa"/>
              <w:end w:w="95" w:type="dxa"/>
            </w:tcMar>
            <w:vAlign w:val="center"/>
          </w:tcPr>
          <w:p>
            <w:pPr>
              <w:keepLines/>
              <w:spacing w:after="0" w:line="240" w:lineRule="auto"/>
              <w:jc w:val="left"/>
            </w:pPr>
            <w:r>
              <w:rPr>
                <w:rFonts w:ascii="Aptos" w:hAnsi="Aptos"/>
                <w:sz w:val="16"/>
              </w:rPr>
              <w:t>Linf</w:t>
            </w:r>
          </w:p>
        </w:tc>
        <w:tc>
          <w:tcPr>
            <w:tcW w:type="dxa" w:w="1296"/>
            <w:shd w:fill="F2F6FA"/>
            <w:tcMar>
              <w:top w:w="85" w:type="dxa"/>
              <w:start w:w="95" w:type="dxa"/>
              <w:bottom w:w="85" w:type="dxa"/>
              <w:end w:w="95" w:type="dxa"/>
            </w:tcMar>
            <w:vAlign w:val="center"/>
          </w:tcPr>
          <w:p>
            <w:pPr>
              <w:keepLines/>
              <w:spacing w:after="0" w:line="240" w:lineRule="auto"/>
              <w:jc w:val="center"/>
            </w:pPr>
            <w:r>
              <w:rPr>
                <w:rFonts w:ascii="Aptos" w:hAnsi="Aptos"/>
                <w:sz w:val="16"/>
              </w:rPr>
              <w:t>29</w:t>
            </w:r>
          </w:p>
        </w:tc>
        <w:tc>
          <w:tcPr>
            <w:tcW w:type="dxa" w:w="1296"/>
            <w:shd w:fill="F2F6FA"/>
            <w:tcMar>
              <w:top w:w="85" w:type="dxa"/>
              <w:start w:w="95" w:type="dxa"/>
              <w:bottom w:w="85" w:type="dxa"/>
              <w:end w:w="95" w:type="dxa"/>
            </w:tcMar>
            <w:vAlign w:val="center"/>
          </w:tcPr>
          <w:p>
            <w:pPr>
              <w:keepLines/>
              <w:spacing w:after="0" w:line="240" w:lineRule="auto"/>
              <w:jc w:val="center"/>
            </w:pPr>
            <w:r>
              <w:rPr>
                <w:rFonts w:ascii="Aptos" w:hAnsi="Aptos"/>
                <w:sz w:val="16"/>
              </w:rPr>
              <w:t>23.4</w:t>
            </w:r>
          </w:p>
        </w:tc>
        <w:tc>
          <w:tcPr>
            <w:tcW w:type="dxa" w:w="1440"/>
            <w:shd w:fill="F2F6FA"/>
            <w:tcMar>
              <w:top w:w="85" w:type="dxa"/>
              <w:start w:w="95" w:type="dxa"/>
              <w:bottom w:w="85" w:type="dxa"/>
              <w:end w:w="95" w:type="dxa"/>
            </w:tcMar>
            <w:vAlign w:val="center"/>
          </w:tcPr>
          <w:p>
            <w:pPr>
              <w:keepLines/>
              <w:spacing w:after="0" w:line="240" w:lineRule="auto"/>
              <w:jc w:val="center"/>
            </w:pPr>
            <w:r>
              <w:rPr>
                <w:rFonts w:ascii="Aptos" w:hAnsi="Aptos"/>
                <w:sz w:val="16"/>
              </w:rPr>
              <w:t>1.04</w:t>
            </w:r>
          </w:p>
        </w:tc>
        <w:tc>
          <w:tcPr>
            <w:tcW w:type="dxa" w:w="1440"/>
            <w:shd w:fill="F2F6FA"/>
            <w:tcMar>
              <w:top w:w="85" w:type="dxa"/>
              <w:start w:w="95" w:type="dxa"/>
              <w:bottom w:w="85" w:type="dxa"/>
              <w:end w:w="95" w:type="dxa"/>
            </w:tcMar>
            <w:vAlign w:val="center"/>
          </w:tcPr>
          <w:p>
            <w:pPr>
              <w:keepLines/>
              <w:spacing w:after="0" w:line="240" w:lineRule="auto"/>
              <w:jc w:val="center"/>
            </w:pPr>
            <w:r>
              <w:rPr>
                <w:rFonts w:ascii="Aptos" w:hAnsi="Aptos"/>
                <w:sz w:val="16"/>
              </w:rPr>
              <w:t>0.83</w:t>
            </w:r>
          </w:p>
        </w:tc>
        <w:tc>
          <w:tcPr>
            <w:tcW w:type="dxa" w:w="4320"/>
            <w:shd w:fill="F2F6FA"/>
            <w:tcMar>
              <w:top w:w="85" w:type="dxa"/>
              <w:start w:w="95" w:type="dxa"/>
              <w:bottom w:w="85" w:type="dxa"/>
              <w:end w:w="95" w:type="dxa"/>
            </w:tcMar>
            <w:vAlign w:val="center"/>
          </w:tcPr>
          <w:p>
            <w:pPr>
              <w:keepLines/>
              <w:spacing w:after="0" w:line="240" w:lineRule="auto"/>
              <w:jc w:val="center"/>
            </w:pPr>
            <w:r>
              <w:rPr>
                <w:rFonts w:ascii="Aptos" w:hAnsi="Aptos"/>
                <w:sz w:val="16"/>
              </w:rPr>
              <w:t>Pass</w:t>
            </w:r>
          </w:p>
        </w:tc>
      </w:tr>
      <w:tr>
        <w:trPr>
          <w:cantSplit w:val="true"/>
        </w:trPr>
        <w:tc>
          <w:tcPr>
            <w:tcW w:type="dxa" w:w="1440"/>
            <w:tcMar>
              <w:top w:w="85" w:type="dxa"/>
              <w:start w:w="95" w:type="dxa"/>
              <w:bottom w:w="85" w:type="dxa"/>
              <w:end w:w="95" w:type="dxa"/>
            </w:tcMar>
            <w:vAlign w:val="center"/>
          </w:tcPr>
          <w:p>
            <w:pPr>
              <w:keepLines/>
              <w:spacing w:after="0" w:line="240" w:lineRule="auto"/>
              <w:jc w:val="left"/>
            </w:pPr>
            <w:r>
              <w:rPr>
                <w:rFonts w:ascii="Aptos" w:hAnsi="Aptos"/>
                <w:sz w:val="16"/>
              </w:rPr>
              <w:t>RMSE</w:t>
            </w:r>
          </w:p>
        </w:tc>
        <w:tc>
          <w:tcPr>
            <w:tcW w:type="dxa" w:w="1296"/>
            <w:tcMar>
              <w:top w:w="85" w:type="dxa"/>
              <w:start w:w="95" w:type="dxa"/>
              <w:bottom w:w="85" w:type="dxa"/>
              <w:end w:w="95" w:type="dxa"/>
            </w:tcMar>
            <w:vAlign w:val="center"/>
          </w:tcPr>
          <w:p>
            <w:pPr>
              <w:keepLines/>
              <w:spacing w:after="0" w:line="240" w:lineRule="auto"/>
              <w:jc w:val="center"/>
            </w:pPr>
            <w:r>
              <w:rPr>
                <w:rFonts w:ascii="Aptos" w:hAnsi="Aptos"/>
                <w:sz w:val="16"/>
              </w:rPr>
              <w:t>29</w:t>
            </w:r>
          </w:p>
        </w:tc>
        <w:tc>
          <w:tcPr>
            <w:tcW w:type="dxa" w:w="1296"/>
            <w:tcMar>
              <w:top w:w="85" w:type="dxa"/>
              <w:start w:w="95" w:type="dxa"/>
              <w:bottom w:w="85" w:type="dxa"/>
              <w:end w:w="95" w:type="dxa"/>
            </w:tcMar>
            <w:vAlign w:val="center"/>
          </w:tcPr>
          <w:p>
            <w:pPr>
              <w:keepLines/>
              <w:spacing w:after="0" w:line="240" w:lineRule="auto"/>
              <w:jc w:val="center"/>
            </w:pPr>
            <w:r>
              <w:rPr>
                <w:rFonts w:ascii="Aptos" w:hAnsi="Aptos"/>
                <w:sz w:val="16"/>
              </w:rPr>
              <w:t>18.6</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1.04</w:t>
            </w:r>
          </w:p>
        </w:tc>
        <w:tc>
          <w:tcPr>
            <w:tcW w:type="dxa" w:w="1440"/>
            <w:tcMar>
              <w:top w:w="85" w:type="dxa"/>
              <w:start w:w="95" w:type="dxa"/>
              <w:bottom w:w="85" w:type="dxa"/>
              <w:end w:w="95" w:type="dxa"/>
            </w:tcMar>
            <w:vAlign w:val="center"/>
          </w:tcPr>
          <w:p>
            <w:pPr>
              <w:keepLines/>
              <w:spacing w:after="0" w:line="240" w:lineRule="auto"/>
              <w:jc w:val="center"/>
            </w:pPr>
            <w:r>
              <w:rPr>
                <w:rFonts w:ascii="Aptos" w:hAnsi="Aptos"/>
                <w:sz w:val="16"/>
              </w:rPr>
              <w:t>0.87</w:t>
            </w:r>
          </w:p>
        </w:tc>
        <w:tc>
          <w:tcPr>
            <w:tcW w:type="dxa" w:w="4320"/>
            <w:tcMar>
              <w:top w:w="85" w:type="dxa"/>
              <w:start w:w="95" w:type="dxa"/>
              <w:bottom w:w="85" w:type="dxa"/>
              <w:end w:w="95" w:type="dxa"/>
            </w:tcMar>
            <w:vAlign w:val="center"/>
          </w:tcPr>
          <w:p>
            <w:pPr>
              <w:keepLines/>
              <w:spacing w:after="0" w:line="240" w:lineRule="auto"/>
              <w:jc w:val="center"/>
            </w:pPr>
            <w:r>
              <w:rPr>
                <w:rFonts w:ascii="Aptos" w:hAnsi="Aptos"/>
                <w:sz w:val="16"/>
              </w:rPr>
              <w:t>Pass</w:t>
            </w:r>
          </w:p>
        </w:tc>
      </w:tr>
    </w:tbl>
    <w:p>
      <w:pPr>
        <w:spacing w:after="20"/>
      </w:pPr>
    </w:p>
    <w:p>
      <w:pPr>
        <w:keepNext/>
        <w:jc w:val="center"/>
      </w:pPr>
      <w:r>
        <w:drawing>
          <wp:inline xmlns:a="http://schemas.openxmlformats.org/drawingml/2006/main" xmlns:pic="http://schemas.openxmlformats.org/drawingml/2006/picture">
            <wp:extent cx="6236208" cy="4677156"/>
            <wp:docPr id="6" name="Picture 6"/>
            <wp:cNvGraphicFramePr>
              <a:graphicFrameLocks noChangeAspect="1"/>
            </wp:cNvGraphicFramePr>
            <a:graphic>
              <a:graphicData uri="http://schemas.openxmlformats.org/drawingml/2006/picture">
                <pic:pic>
                  <pic:nvPicPr>
                    <pic:cNvPr id="0" name="code_E_diff_v_iii_gam_check(5).png"/>
                    <pic:cNvPicPr/>
                  </pic:nvPicPr>
                  <pic:blipFill>
                    <a:blip r:embed="rId14"/>
                    <a:stretch>
                      <a:fillRect/>
                    </a:stretch>
                  </pic:blipFill>
                  <pic:spPr>
                    <a:xfrm>
                      <a:off x="0" y="0"/>
                      <a:ext cx="6236208" cy="4677156"/>
                    </a:xfrm>
                    <a:prstGeom prst="rect"/>
                  </pic:spPr>
                </pic:pic>
              </a:graphicData>
            </a:graphic>
          </wp:inline>
        </w:drawing>
      </w:r>
    </w:p>
    <w:p>
      <w:pPr>
        <w:pStyle w:val="FigureCaption"/>
        <w:jc w:val="left"/>
      </w:pPr>
      <w:r>
        <w:t>Figure 6. Diagnostic panel for the absolute v-iii difference GAM. Residuals remain right-skewed and heteroscedastic, with several influential positive observations. The deviations are smaller in absolute scale than in the global model but remain inferentially relevant.</w:t>
      </w:r>
    </w:p>
    <w:p>
      <w:r>
        <w:t>The difference-model Q-Q plot has a marked positive-tail departure, and the residual-versus-linear-predictor panel forms a wedge. Several extreme observations reach residuals near 0.25. The Gaussian identity fit can also generate slightly negative predictions for a nonnegative response. These findings favor a nonnegative likelihood or robust sensitivity model, while retaining the current GAM as a descriptive surface estimator.</w:t>
      </w:r>
    </w:p>
    <w:p>
      <w:r>
        <w:br w:type="page"/>
      </w:r>
    </w:p>
    <w:p>
      <w:pPr>
        <w:pStyle w:val="Heading1"/>
      </w:pPr>
      <w:r>
        <w:t>6 Integrated Interpretation and Recommendations</w:t>
      </w:r>
    </w:p>
    <w:p>
      <w:r>
        <w:t>The Code E analysis adds a spatial robustness dimension to the earlier factorial comparisons. The broad hierarchy is stable: ii is least accurate; iii and v are the leading methods; iv is competitive but intermediate; and i has stronger local irregularity. The global adjusted ranking is metric-dependent, with iii best for RMSE and v marginally best for L1 and Linf at the reference configuration. Differences between iii and v are small compared with the large effect of G and sigma, so experimental conditions matter more than choosing between the two leading estimators in many parts of the design space.</w:t>
      </w:r>
    </w:p>
    <w:p>
      <w:r>
        <w:t>The simplex surfaces refine this conclusion. Methods iii, iv, and v share a broad low-error region and generally improve toward high p1. Methods iv and v are especially similar in morphology. Method i has localized peaks and valleys, implying greater sensitivity to composition geometry. Method ii combines the highest adjusted error with a relatively simple diagonal surface; its inferiority is broad rather than confined to a narrow niche.</w:t>
      </w:r>
    </w:p>
    <w:p>
      <w:r>
        <w:t>Methods v and iii are most interchangeable across the central simplex and least interchangeable near high-p1 and high-p2 boundaries. L1 exhibits the largest disagreement, followed by Linf and RMSE. However, because the targeted model discards the sign, these regions cannot be labeled as v-favorable or iii-favorable. A signed contrast GAM is required for that decision.</w:t>
      </w:r>
    </w:p>
    <w:p>
      <w:pPr>
        <w:pStyle w:val="Heading2"/>
      </w:pPr>
      <w:r>
        <w:t>Recommended methodological actions</w:t>
      </w:r>
    </w:p>
    <w:p>
      <w:pPr>
        <w:pStyle w:val="ListBullet"/>
        <w:spacing w:after="60"/>
      </w:pPr>
      <w:r>
        <w:t>Retain k = 30 for the global GAM. Refit the difference GAM with k = 40 or 50 as a sensitivity check for the L1 surface because its edf is 26.2 of 29.</w:t>
      </w:r>
    </w:p>
    <w:p>
      <w:pPr>
        <w:pStyle w:val="ListBullet"/>
        <w:spacing w:after="60"/>
      </w:pPr>
      <w:r>
        <w:t>Fit a signed v-minus-iii log-error contrast and plot zero contours with simultaneous confidence intervals to locate supported crossovers.</w:t>
      </w:r>
    </w:p>
    <w:p>
      <w:pPr>
        <w:pStyle w:val="ListBullet"/>
        <w:spacing w:after="60"/>
      </w:pPr>
      <w:r>
        <w:t>Address heteroscedasticity using a location-scale GAM, robust scaled-t family, Tweedie or two-part model, or scenario-level bootstrap. Compare surfaces rather than p values alone.</w:t>
      </w:r>
    </w:p>
    <w:p>
      <w:pPr>
        <w:pStyle w:val="ListBullet"/>
        <w:spacing w:after="60"/>
      </w:pPr>
      <w:r>
        <w:t>Use a common color scale and prediction grid for publication figures. Add uncertainty masks or standard-error contours and visibly mark regions with sparse simplex support.</w:t>
      </w:r>
    </w:p>
    <w:p>
      <w:pPr>
        <w:pStyle w:val="ListBullet"/>
        <w:spacing w:after="60"/>
      </w:pPr>
      <w:r>
        <w:t>Report response-scale predictions using exp(fitted) minus 1, while noting that back-transforming expected log1p error does not equal the expected raw error without bias correction.</w:t>
      </w:r>
    </w:p>
    <w:p>
      <w:pPr>
        <w:pStyle w:val="ListBullet"/>
        <w:spacing w:after="60"/>
      </w:pPr>
      <w:r>
        <w:t>Validate the method hierarchy with out-of-sample or held-out simulation scenarios, stratified by sigma, G, metric, and boundary proximity.</w:t>
      </w:r>
    </w:p>
    <w:p>
      <w:pPr>
        <w:pStyle w:val="Heading2"/>
      </w:pPr>
      <w:r>
        <w:t>Final statistical conclusion</w:t>
      </w:r>
    </w:p>
    <w:p>
      <w:r>
        <w:t>Code E provides strong evidence that composition geometry and the simulation design jointly influence estimator accuracy. G and sigma dominate the factorial effects, while the p1-p2 surface changes by method and metric. Method ii is not recommended when estimation accuracy is the primary criterion. Methods iii and v are the preferred estimators: iii has the lowest adjusted RMSE, whereas v has slightly lower adjusted L1 and Linf under the model reference configuration. Method v and iii are effectively close over much of the simplex, but their separation grows near high-p1 and high-p2 boundaries. Because residual misspecification is visible and the targeted comparison is unsigned, the most defensible recommendation is to retain both iii and v as leading candidates until a signed, heteroscedasticity-robust contrast analysis confirms local dominance.</w:t>
      </w:r>
    </w:p>
    <w:p>
      <w:pPr>
        <w:pStyle w:val="Heading1"/>
      </w:pPr>
      <w:r>
        <w:t>Source material</w:t>
      </w:r>
    </w:p>
    <w:p>
      <w:r>
        <w:t>results-code-E.txt and six associated Code E plots covering the global and v-versus-iii gam.check diagnostics, gratia smooths, method surfaces, and metric-specific difference surfaces.</w:t>
      </w:r>
    </w:p>
    <w:sectPr w:rsidR="00FC693F" w:rsidRPr="0006063C" w:rsidSect="00034616">
      <w:footerReference w:type="default" r:id="rId15"/>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left"/>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00"/>
    </w:pPr>
    <w:rPr>
      <w:rFonts w:ascii="Aptos" w:hAnsi="Aptos"/>
      <w:color w:val="000000"/>
      <w:sz w:val="23"/>
    </w:rPr>
  </w:style>
  <w:style w:type="paragraph" w:customStyle="1" w:styleId="TableNote">
    <w:name w:val="Table Note"/>
    <w:pPr>
      <w:spacing w:before="60" w:after="140"/>
    </w:pPr>
    <w:rPr>
      <w:rFonts w:ascii="Aptos" w:hAnsi="Aptos"/>
      <w:color w:val="464646"/>
      <w:sz w:val="17"/>
    </w:rPr>
  </w:style>
  <w:style w:type="paragraph" w:customStyle="1" w:styleId="FigureCaption">
    <w:name w:val="Figure Caption"/>
    <w:pPr>
      <w:keepNext w:val="0"/>
      <w:spacing w:before="60" w:after="160"/>
    </w:pPr>
    <w:rPr>
      <w:rFonts w:ascii="Aptos" w:hAnsi="Aptos"/>
      <w:color w:val="3737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Generalized Additive Model Analysis of Composition Likelihood Accuracy</dc:title>
  <dc:subject>Code E simulation results for five composition likelihood estimators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