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437D6" w14:textId="77777777" w:rsidR="0050111C" w:rsidRPr="0050111C" w:rsidRDefault="0050111C" w:rsidP="0050111C">
      <w:pPr>
        <w:spacing w:before="100" w:beforeAutospacing="1" w:after="100" w:afterAutospacing="1" w:line="240" w:lineRule="auto"/>
        <w:outlineLvl w:val="1"/>
        <w:rPr>
          <w:rFonts w:ascii="Times New Roman" w:eastAsia="Times New Roman" w:hAnsi="Times New Roman" w:cs="Times New Roman"/>
          <w:b/>
          <w:bCs/>
          <w:sz w:val="36"/>
          <w:szCs w:val="36"/>
        </w:rPr>
      </w:pPr>
      <w:r w:rsidRPr="0050111C">
        <w:rPr>
          <w:rFonts w:ascii="Times New Roman" w:eastAsia="Times New Roman" w:hAnsi="Times New Roman" w:cs="Times New Roman"/>
          <w:b/>
          <w:bCs/>
          <w:sz w:val="36"/>
          <w:szCs w:val="36"/>
        </w:rPr>
        <w:t>Summary judgment</w:t>
      </w:r>
    </w:p>
    <w:p w14:paraId="329EFB44"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Code B mixed-effects analysis supports a clear statistical conclusion: </w:t>
      </w:r>
      <w:r w:rsidRPr="0050111C">
        <w:rPr>
          <w:rFonts w:ascii="Times New Roman" w:eastAsia="Times New Roman" w:hAnsi="Times New Roman" w:cs="Times New Roman"/>
          <w:b/>
          <w:bCs/>
          <w:sz w:val="24"/>
          <w:szCs w:val="24"/>
        </w:rPr>
        <w:t xml:space="preserve">method choice matters, but the dominant drivers of accuracy are the experimental conditions, especially </w:t>
      </w:r>
      <w:r w:rsidRPr="0050111C">
        <w:rPr>
          <w:rFonts w:ascii="Courier New" w:eastAsia="Times New Roman" w:hAnsi="Courier New" w:cs="Courier New"/>
          <w:b/>
          <w:bCs/>
          <w:sz w:val="20"/>
          <w:szCs w:val="20"/>
        </w:rPr>
        <w:t>sigma</w:t>
      </w:r>
      <w:r w:rsidRPr="0050111C">
        <w:rPr>
          <w:rFonts w:ascii="Times New Roman" w:eastAsia="Times New Roman" w:hAnsi="Times New Roman" w:cs="Times New Roman"/>
          <w:b/>
          <w:bCs/>
          <w:sz w:val="24"/>
          <w:szCs w:val="24"/>
        </w:rPr>
        <w:t xml:space="preserve">, </w:t>
      </w:r>
      <w:r w:rsidRPr="0050111C">
        <w:rPr>
          <w:rFonts w:ascii="Courier New" w:eastAsia="Times New Roman" w:hAnsi="Courier New" w:cs="Courier New"/>
          <w:b/>
          <w:bCs/>
          <w:sz w:val="20"/>
          <w:szCs w:val="20"/>
        </w:rPr>
        <w:t>p1</w:t>
      </w:r>
      <w:r w:rsidRPr="0050111C">
        <w:rPr>
          <w:rFonts w:ascii="Times New Roman" w:eastAsia="Times New Roman" w:hAnsi="Times New Roman" w:cs="Times New Roman"/>
          <w:b/>
          <w:bCs/>
          <w:sz w:val="24"/>
          <w:szCs w:val="24"/>
        </w:rPr>
        <w:t xml:space="preserve">, and </w:t>
      </w:r>
      <w:r w:rsidRPr="0050111C">
        <w:rPr>
          <w:rFonts w:ascii="Courier New" w:eastAsia="Times New Roman" w:hAnsi="Courier New" w:cs="Courier New"/>
          <w:b/>
          <w:bCs/>
          <w:sz w:val="20"/>
          <w:szCs w:val="20"/>
        </w:rPr>
        <w:t>G</w:t>
      </w:r>
      <w:r w:rsidRPr="0050111C">
        <w:rPr>
          <w:rFonts w:ascii="Times New Roman" w:eastAsia="Times New Roman" w:hAnsi="Times New Roman" w:cs="Times New Roman"/>
          <w:sz w:val="24"/>
          <w:szCs w:val="24"/>
        </w:rPr>
        <w:t xml:space="preserve">. Across RMSE, L1, and </w:t>
      </w:r>
      <w:proofErr w:type="spellStart"/>
      <w:r w:rsidRPr="0050111C">
        <w:rPr>
          <w:rFonts w:ascii="Times New Roman" w:eastAsia="Times New Roman" w:hAnsi="Times New Roman" w:cs="Times New Roman"/>
          <w:sz w:val="24"/>
          <w:szCs w:val="24"/>
        </w:rPr>
        <w:t>Linf</w:t>
      </w:r>
      <w:proofErr w:type="spellEnd"/>
      <w:r w:rsidRPr="0050111C">
        <w:rPr>
          <w:rFonts w:ascii="Times New Roman" w:eastAsia="Times New Roman" w:hAnsi="Times New Roman" w:cs="Times New Roman"/>
          <w:sz w:val="24"/>
          <w:szCs w:val="24"/>
        </w:rPr>
        <w:t xml:space="preserve">, the strongest method group is </w:t>
      </w:r>
      <w:r w:rsidRPr="0050111C">
        <w:rPr>
          <w:rFonts w:ascii="Times New Roman" w:eastAsia="Times New Roman" w:hAnsi="Times New Roman" w:cs="Times New Roman"/>
          <w:b/>
          <w:bCs/>
          <w:sz w:val="24"/>
          <w:szCs w:val="24"/>
        </w:rPr>
        <w:t>iii, iv, and v</w:t>
      </w:r>
      <w:r w:rsidRPr="0050111C">
        <w:rPr>
          <w:rFonts w:ascii="Times New Roman" w:eastAsia="Times New Roman" w:hAnsi="Times New Roman" w:cs="Times New Roman"/>
          <w:sz w:val="24"/>
          <w:szCs w:val="24"/>
        </w:rPr>
        <w:t xml:space="preserve">, while methods </w:t>
      </w:r>
      <w:proofErr w:type="spellStart"/>
      <w:r w:rsidRPr="0050111C">
        <w:rPr>
          <w:rFonts w:ascii="Times New Roman" w:eastAsia="Times New Roman" w:hAnsi="Times New Roman" w:cs="Times New Roman"/>
          <w:b/>
          <w:bCs/>
          <w:sz w:val="24"/>
          <w:szCs w:val="24"/>
        </w:rPr>
        <w:t>i</w:t>
      </w:r>
      <w:proofErr w:type="spellEnd"/>
      <w:r w:rsidRPr="0050111C">
        <w:rPr>
          <w:rFonts w:ascii="Times New Roman" w:eastAsia="Times New Roman" w:hAnsi="Times New Roman" w:cs="Times New Roman"/>
          <w:b/>
          <w:bCs/>
          <w:sz w:val="24"/>
          <w:szCs w:val="24"/>
        </w:rPr>
        <w:t xml:space="preserve"> and ii</w:t>
      </w:r>
      <w:r w:rsidRPr="0050111C">
        <w:rPr>
          <w:rFonts w:ascii="Times New Roman" w:eastAsia="Times New Roman" w:hAnsi="Times New Roman" w:cs="Times New Roman"/>
          <w:sz w:val="24"/>
          <w:szCs w:val="24"/>
        </w:rPr>
        <w:t xml:space="preserve"> are generally less competitive. However, the uploaded Code B output does </w:t>
      </w:r>
      <w:r w:rsidRPr="0050111C">
        <w:rPr>
          <w:rFonts w:ascii="Times New Roman" w:eastAsia="Times New Roman" w:hAnsi="Times New Roman" w:cs="Times New Roman"/>
          <w:b/>
          <w:bCs/>
          <w:sz w:val="24"/>
          <w:szCs w:val="24"/>
        </w:rPr>
        <w:t>not</w:t>
      </w:r>
      <w:r w:rsidRPr="0050111C">
        <w:rPr>
          <w:rFonts w:ascii="Times New Roman" w:eastAsia="Times New Roman" w:hAnsi="Times New Roman" w:cs="Times New Roman"/>
          <w:sz w:val="24"/>
          <w:szCs w:val="24"/>
        </w:rPr>
        <w:t xml:space="preserve"> contain the requested Type III Satterthwaite ANOVA, a stacked </w:t>
      </w:r>
      <w:r w:rsidRPr="0050111C">
        <w:rPr>
          <w:rFonts w:ascii="Courier New" w:eastAsia="Times New Roman" w:hAnsi="Courier New" w:cs="Courier New"/>
          <w:sz w:val="20"/>
          <w:szCs w:val="20"/>
        </w:rPr>
        <w:t>method × metric</w:t>
      </w:r>
      <w:r w:rsidRPr="0050111C">
        <w:rPr>
          <w:rFonts w:ascii="Times New Roman" w:eastAsia="Times New Roman" w:hAnsi="Times New Roman" w:cs="Times New Roman"/>
          <w:sz w:val="24"/>
          <w:szCs w:val="24"/>
        </w:rPr>
        <w:t xml:space="preserve"> model, or Holm-adjusted EMM post-hoc results. The script explicitly fits </w:t>
      </w:r>
      <w:r w:rsidRPr="0050111C">
        <w:rPr>
          <w:rFonts w:ascii="Times New Roman" w:eastAsia="Times New Roman" w:hAnsi="Times New Roman" w:cs="Times New Roman"/>
          <w:b/>
          <w:bCs/>
          <w:sz w:val="24"/>
          <w:szCs w:val="24"/>
        </w:rPr>
        <w:t>one mixed model per metric</w:t>
      </w:r>
      <w:r w:rsidRPr="0050111C">
        <w:rPr>
          <w:rFonts w:ascii="Times New Roman" w:eastAsia="Times New Roman" w:hAnsi="Times New Roman" w:cs="Times New Roman"/>
          <w:sz w:val="24"/>
          <w:szCs w:val="24"/>
        </w:rPr>
        <w:t xml:space="preserve"> and avoids </w:t>
      </w:r>
      <w:proofErr w:type="spellStart"/>
      <w:r w:rsidRPr="0050111C">
        <w:rPr>
          <w:rFonts w:ascii="Courier New" w:eastAsia="Times New Roman" w:hAnsi="Courier New" w:cs="Courier New"/>
          <w:sz w:val="20"/>
          <w:szCs w:val="20"/>
        </w:rPr>
        <w:t>lmerTest</w:t>
      </w:r>
      <w:proofErr w:type="spellEnd"/>
      <w:r w:rsidRPr="0050111C">
        <w:rPr>
          <w:rFonts w:ascii="Times New Roman" w:eastAsia="Times New Roman" w:hAnsi="Times New Roman" w:cs="Times New Roman"/>
          <w:sz w:val="24"/>
          <w:szCs w:val="24"/>
        </w:rPr>
        <w:t xml:space="preserve"> and default </w:t>
      </w:r>
      <w:proofErr w:type="spellStart"/>
      <w:r w:rsidRPr="0050111C">
        <w:rPr>
          <w:rFonts w:ascii="Courier New" w:eastAsia="Times New Roman" w:hAnsi="Courier New" w:cs="Courier New"/>
          <w:sz w:val="20"/>
          <w:szCs w:val="20"/>
        </w:rPr>
        <w:t>emmeans</w:t>
      </w:r>
      <w:proofErr w:type="spellEnd"/>
      <w:r w:rsidRPr="0050111C">
        <w:rPr>
          <w:rFonts w:ascii="Times New Roman" w:eastAsia="Times New Roman" w:hAnsi="Times New Roman" w:cs="Times New Roman"/>
          <w:sz w:val="24"/>
          <w:szCs w:val="24"/>
        </w:rPr>
        <w:t xml:space="preserve"> calculations because those operations can trigger large dense matrix failures for this data size.</w:t>
      </w:r>
    </w:p>
    <w:p w14:paraId="181A1BB9" w14:textId="77777777" w:rsidR="0050111C" w:rsidRPr="0050111C" w:rsidRDefault="0050111C" w:rsidP="0050111C">
      <w:pPr>
        <w:spacing w:before="100" w:beforeAutospacing="1" w:after="100" w:afterAutospacing="1" w:line="240" w:lineRule="auto"/>
        <w:outlineLvl w:val="1"/>
        <w:rPr>
          <w:rFonts w:ascii="Times New Roman" w:eastAsia="Times New Roman" w:hAnsi="Times New Roman" w:cs="Times New Roman"/>
          <w:b/>
          <w:bCs/>
          <w:sz w:val="36"/>
          <w:szCs w:val="36"/>
        </w:rPr>
      </w:pPr>
      <w:r w:rsidRPr="0050111C">
        <w:rPr>
          <w:rFonts w:ascii="Times New Roman" w:eastAsia="Times New Roman" w:hAnsi="Times New Roman" w:cs="Times New Roman"/>
          <w:b/>
          <w:bCs/>
          <w:sz w:val="36"/>
          <w:szCs w:val="36"/>
        </w:rPr>
        <w:t>1. Model interpretation and significance</w:t>
      </w:r>
    </w:p>
    <w:p w14:paraId="3CA64EA4"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fitted model is not a single multivariate LMM with </w:t>
      </w:r>
      <w:r w:rsidRPr="0050111C">
        <w:rPr>
          <w:rFonts w:ascii="Courier New" w:eastAsia="Times New Roman" w:hAnsi="Courier New" w:cs="Courier New"/>
          <w:sz w:val="20"/>
          <w:szCs w:val="20"/>
        </w:rPr>
        <w:t>Metric</w:t>
      </w:r>
      <w:r w:rsidRPr="0050111C">
        <w:rPr>
          <w:rFonts w:ascii="Times New Roman" w:eastAsia="Times New Roman" w:hAnsi="Times New Roman" w:cs="Times New Roman"/>
          <w:sz w:val="24"/>
          <w:szCs w:val="24"/>
        </w:rPr>
        <w:t xml:space="preserve"> as a fixed effect. Instead, Code B fits three separate mixed models:</w:t>
      </w:r>
    </w:p>
    <w:p w14:paraId="5323B987"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w:t>
      </w:r>
      <w:r w:rsidRPr="0050111C">
        <w:rPr>
          <w:rFonts w:ascii="Times New Roman" w:eastAsia="Times New Roman" w:hAnsi="Times New Roman" w:cs="Times New Roman"/>
          <w:sz w:val="24"/>
          <w:szCs w:val="24"/>
        </w:rPr>
        <w:br/>
        <w:t>\log(1+\text{RMSE}),\quad \log(1+\text{L1}),\quad \log(1+\text{</w:t>
      </w:r>
      <w:proofErr w:type="spellStart"/>
      <w:r w:rsidRPr="0050111C">
        <w:rPr>
          <w:rFonts w:ascii="Times New Roman" w:eastAsia="Times New Roman" w:hAnsi="Times New Roman" w:cs="Times New Roman"/>
          <w:sz w:val="24"/>
          <w:szCs w:val="24"/>
        </w:rPr>
        <w:t>Linf</w:t>
      </w:r>
      <w:proofErr w:type="spellEnd"/>
      <w:r w:rsidRPr="0050111C">
        <w:rPr>
          <w:rFonts w:ascii="Times New Roman" w:eastAsia="Times New Roman" w:hAnsi="Times New Roman" w:cs="Times New Roman"/>
          <w:sz w:val="24"/>
          <w:szCs w:val="24"/>
        </w:rPr>
        <w:t>})</w:t>
      </w:r>
      <w:r w:rsidRPr="0050111C">
        <w:rPr>
          <w:rFonts w:ascii="Times New Roman" w:eastAsia="Times New Roman" w:hAnsi="Times New Roman" w:cs="Times New Roman"/>
          <w:sz w:val="24"/>
          <w:szCs w:val="24"/>
        </w:rPr>
        <w:br/>
        <w:t>]</w:t>
      </w:r>
    </w:p>
    <w:p w14:paraId="1C91429E"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with the same fixed-effect structure:</w:t>
      </w:r>
    </w:p>
    <w:p w14:paraId="0BB56152"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w:t>
      </w:r>
      <w:r w:rsidRPr="0050111C">
        <w:rPr>
          <w:rFonts w:ascii="Times New Roman" w:eastAsia="Times New Roman" w:hAnsi="Times New Roman" w:cs="Times New Roman"/>
          <w:sz w:val="24"/>
          <w:szCs w:val="24"/>
        </w:rPr>
        <w:br/>
        <w:t>\text{method} * \text{</w:t>
      </w:r>
      <w:proofErr w:type="spellStart"/>
      <w:r w:rsidRPr="0050111C">
        <w:rPr>
          <w:rFonts w:ascii="Times New Roman" w:eastAsia="Times New Roman" w:hAnsi="Times New Roman" w:cs="Times New Roman"/>
          <w:sz w:val="24"/>
          <w:szCs w:val="24"/>
        </w:rPr>
        <w:t>design_block</w:t>
      </w:r>
      <w:proofErr w:type="spellEnd"/>
      <w:r w:rsidRPr="0050111C">
        <w:rPr>
          <w:rFonts w:ascii="Times New Roman" w:eastAsia="Times New Roman" w:hAnsi="Times New Roman" w:cs="Times New Roman"/>
          <w:sz w:val="24"/>
          <w:szCs w:val="24"/>
        </w:rPr>
        <w:t>}</w:t>
      </w:r>
    </w:p>
    <w:p w14:paraId="486349ED" w14:textId="77777777" w:rsidR="0050111C" w:rsidRPr="0050111C" w:rsidRDefault="0050111C" w:rsidP="00501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\text{method} * G</w:t>
      </w:r>
    </w:p>
    <w:p w14:paraId="2417D959" w14:textId="77777777" w:rsidR="0050111C" w:rsidRPr="0050111C" w:rsidRDefault="0050111C" w:rsidP="00501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\text{method} * \theta_{\text{true}}</w:t>
      </w:r>
    </w:p>
    <w:p w14:paraId="41F9F36A" w14:textId="77777777" w:rsidR="0050111C" w:rsidRPr="0050111C" w:rsidRDefault="0050111C" w:rsidP="00501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\text{method} * \theta_{\text{CV}}</w:t>
      </w:r>
    </w:p>
    <w:p w14:paraId="2CFBF94F" w14:textId="77777777" w:rsidR="0050111C" w:rsidRPr="0050111C" w:rsidRDefault="0050111C" w:rsidP="00501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\text{method} * \sigma</w:t>
      </w:r>
    </w:p>
    <w:p w14:paraId="59981055" w14:textId="77777777" w:rsidR="0050111C" w:rsidRPr="0050111C" w:rsidRDefault="0050111C" w:rsidP="00501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\text{method} * \text{</w:t>
      </w:r>
      <w:proofErr w:type="spellStart"/>
      <w:r w:rsidRPr="0050111C">
        <w:rPr>
          <w:rFonts w:ascii="Times New Roman" w:eastAsia="Times New Roman" w:hAnsi="Times New Roman" w:cs="Times New Roman"/>
          <w:sz w:val="24"/>
          <w:szCs w:val="24"/>
        </w:rPr>
        <w:t>mean_nsamp</w:t>
      </w:r>
      <w:proofErr w:type="spellEnd"/>
      <w:r w:rsidRPr="0050111C">
        <w:rPr>
          <w:rFonts w:ascii="Times New Roman" w:eastAsia="Times New Roman" w:hAnsi="Times New Roman" w:cs="Times New Roman"/>
          <w:sz w:val="24"/>
          <w:szCs w:val="24"/>
        </w:rPr>
        <w:t>}</w:t>
      </w:r>
    </w:p>
    <w:p w14:paraId="39B77568" w14:textId="77777777" w:rsidR="0050111C" w:rsidRPr="0050111C" w:rsidRDefault="0050111C" w:rsidP="00501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\text{method} * p_1</w:t>
      </w:r>
    </w:p>
    <w:p w14:paraId="4E1FD92B" w14:textId="77777777" w:rsidR="0050111C" w:rsidRPr="0050111C" w:rsidRDefault="0050111C" w:rsidP="00501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\text{method} * p_2</w:t>
      </w:r>
    </w:p>
    <w:p w14:paraId="36DB1DEA" w14:textId="77777777" w:rsidR="0050111C" w:rsidRPr="0050111C" w:rsidRDefault="0050111C" w:rsidP="00501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(1|\text{</w:t>
      </w:r>
      <w:proofErr w:type="spellStart"/>
      <w:r w:rsidRPr="0050111C">
        <w:rPr>
          <w:rFonts w:ascii="Times New Roman" w:eastAsia="Times New Roman" w:hAnsi="Times New Roman" w:cs="Times New Roman"/>
          <w:sz w:val="24"/>
          <w:szCs w:val="24"/>
        </w:rPr>
        <w:t>simplex_id</w:t>
      </w:r>
      <w:proofErr w:type="spellEnd"/>
      <w:r w:rsidRPr="0050111C">
        <w:rPr>
          <w:rFonts w:ascii="Times New Roman" w:eastAsia="Times New Roman" w:hAnsi="Times New Roman" w:cs="Times New Roman"/>
          <w:sz w:val="24"/>
          <w:szCs w:val="24"/>
        </w:rPr>
        <w:t>}).</w:t>
      </w:r>
      <w:r w:rsidRPr="0050111C">
        <w:rPr>
          <w:rFonts w:ascii="Times New Roman" w:eastAsia="Times New Roman" w:hAnsi="Times New Roman" w:cs="Times New Roman"/>
          <w:sz w:val="24"/>
          <w:szCs w:val="24"/>
        </w:rPr>
        <w:br/>
        <w:t>]</w:t>
      </w:r>
    </w:p>
    <w:p w14:paraId="0F1764F0"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script confirms this structure and identifies </w:t>
      </w:r>
      <w:proofErr w:type="spellStart"/>
      <w:r w:rsidRPr="0050111C">
        <w:rPr>
          <w:rFonts w:ascii="Courier New" w:eastAsia="Times New Roman" w:hAnsi="Courier New" w:cs="Courier New"/>
          <w:sz w:val="20"/>
          <w:szCs w:val="20"/>
        </w:rPr>
        <w:t>simplex_id</w:t>
      </w:r>
      <w:proofErr w:type="spellEnd"/>
      <w:r w:rsidRPr="0050111C">
        <w:rPr>
          <w:rFonts w:ascii="Times New Roman" w:eastAsia="Times New Roman" w:hAnsi="Times New Roman" w:cs="Times New Roman"/>
          <w:sz w:val="24"/>
          <w:szCs w:val="24"/>
        </w:rPr>
        <w:t xml:space="preserve"> as the only random effect.</w:t>
      </w:r>
    </w:p>
    <w:p w14:paraId="0F88173E"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Because the three metrics were modeled separately, Code B does </w:t>
      </w:r>
      <w:r w:rsidRPr="0050111C">
        <w:rPr>
          <w:rFonts w:ascii="Times New Roman" w:eastAsia="Times New Roman" w:hAnsi="Times New Roman" w:cs="Times New Roman"/>
          <w:b/>
          <w:bCs/>
          <w:sz w:val="24"/>
          <w:szCs w:val="24"/>
        </w:rPr>
        <w:t>not</w:t>
      </w:r>
      <w:r w:rsidRPr="0050111C">
        <w:rPr>
          <w:rFonts w:ascii="Times New Roman" w:eastAsia="Times New Roman" w:hAnsi="Times New Roman" w:cs="Times New Roman"/>
          <w:sz w:val="24"/>
          <w:szCs w:val="24"/>
        </w:rPr>
        <w:t xml:space="preserve"> estimate a direct </w:t>
      </w:r>
      <w:r w:rsidRPr="0050111C">
        <w:rPr>
          <w:rFonts w:ascii="Courier New" w:eastAsia="Times New Roman" w:hAnsi="Courier New" w:cs="Courier New"/>
          <w:sz w:val="20"/>
          <w:szCs w:val="20"/>
        </w:rPr>
        <w:t>method × metric</w:t>
      </w:r>
      <w:r w:rsidRPr="0050111C">
        <w:rPr>
          <w:rFonts w:ascii="Times New Roman" w:eastAsia="Times New Roman" w:hAnsi="Times New Roman" w:cs="Times New Roman"/>
          <w:sz w:val="24"/>
          <w:szCs w:val="24"/>
        </w:rPr>
        <w:t xml:space="preserve"> interaction. Therefore, a formal statement such as “the method × metric interaction is significant under Satterthwaite’s approximation” cannot be made from this output. What can be said is that the method effects and method-by-factor interactions are highly consistent across all three metrics. That consistency is strong evidence that the relative performance differences among methods are not artifacts of a single error definition.</w:t>
      </w:r>
    </w:p>
    <w:p w14:paraId="72F06702" w14:textId="77777777" w:rsidR="0050111C" w:rsidRPr="0050111C" w:rsidRDefault="0050111C" w:rsidP="0050111C">
      <w:pPr>
        <w:spacing w:before="100" w:beforeAutospacing="1" w:after="100" w:afterAutospacing="1" w:line="240" w:lineRule="auto"/>
        <w:outlineLvl w:val="1"/>
        <w:rPr>
          <w:rFonts w:ascii="Times New Roman" w:eastAsia="Times New Roman" w:hAnsi="Times New Roman" w:cs="Times New Roman"/>
          <w:b/>
          <w:bCs/>
          <w:sz w:val="36"/>
          <w:szCs w:val="36"/>
        </w:rPr>
      </w:pPr>
      <w:r w:rsidRPr="0050111C">
        <w:rPr>
          <w:rFonts w:ascii="Times New Roman" w:eastAsia="Times New Roman" w:hAnsi="Times New Roman" w:cs="Times New Roman"/>
          <w:b/>
          <w:bCs/>
          <w:sz w:val="36"/>
          <w:szCs w:val="36"/>
        </w:rPr>
        <w:t>2. Experimental factor influence</w:t>
      </w:r>
    </w:p>
    <w:p w14:paraId="0BACAE7E"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sequential ANOVA tables show the same practical hierarchy for all three metrics. For RMSE, the largest F-statistics are </w:t>
      </w:r>
      <w:r w:rsidRPr="0050111C">
        <w:rPr>
          <w:rFonts w:ascii="Courier New" w:eastAsia="Times New Roman" w:hAnsi="Courier New" w:cs="Courier New"/>
          <w:sz w:val="20"/>
          <w:szCs w:val="20"/>
        </w:rPr>
        <w:t>sigma</w:t>
      </w:r>
      <w:r w:rsidRPr="0050111C">
        <w:rPr>
          <w:rFonts w:ascii="Times New Roman" w:eastAsia="Times New Roman" w:hAnsi="Times New Roman" w:cs="Times New Roman"/>
          <w:sz w:val="24"/>
          <w:szCs w:val="24"/>
        </w:rPr>
        <w:t xml:space="preserve"> = 66,144.8, </w:t>
      </w:r>
      <w:r w:rsidRPr="0050111C">
        <w:rPr>
          <w:rFonts w:ascii="Courier New" w:eastAsia="Times New Roman" w:hAnsi="Courier New" w:cs="Courier New"/>
          <w:sz w:val="20"/>
          <w:szCs w:val="20"/>
        </w:rPr>
        <w:t>p1</w:t>
      </w:r>
      <w:r w:rsidRPr="0050111C">
        <w:rPr>
          <w:rFonts w:ascii="Times New Roman" w:eastAsia="Times New Roman" w:hAnsi="Times New Roman" w:cs="Times New Roman"/>
          <w:sz w:val="24"/>
          <w:szCs w:val="24"/>
        </w:rPr>
        <w:t xml:space="preserve"> = 26,852.7, </w:t>
      </w:r>
      <w:r w:rsidRPr="0050111C">
        <w:rPr>
          <w:rFonts w:ascii="Courier New" w:eastAsia="Times New Roman" w:hAnsi="Courier New" w:cs="Courier New"/>
          <w:sz w:val="20"/>
          <w:szCs w:val="20"/>
        </w:rPr>
        <w:t>G</w:t>
      </w:r>
      <w:r w:rsidRPr="0050111C">
        <w:rPr>
          <w:rFonts w:ascii="Times New Roman" w:eastAsia="Times New Roman" w:hAnsi="Times New Roman" w:cs="Times New Roman"/>
          <w:sz w:val="24"/>
          <w:szCs w:val="24"/>
        </w:rPr>
        <w:t xml:space="preserve"> = 18,758.3, and </w:t>
      </w:r>
      <w:r w:rsidRPr="0050111C">
        <w:rPr>
          <w:rFonts w:ascii="Courier New" w:eastAsia="Times New Roman" w:hAnsi="Courier New" w:cs="Courier New"/>
          <w:sz w:val="20"/>
          <w:szCs w:val="20"/>
        </w:rPr>
        <w:t>method</w:t>
      </w:r>
      <w:r w:rsidRPr="0050111C">
        <w:rPr>
          <w:rFonts w:ascii="Times New Roman" w:eastAsia="Times New Roman" w:hAnsi="Times New Roman" w:cs="Times New Roman"/>
          <w:sz w:val="24"/>
          <w:szCs w:val="24"/>
        </w:rPr>
        <w:t xml:space="preserve"> = 17,245.8. For L1, the largest are </w:t>
      </w:r>
      <w:r w:rsidRPr="0050111C">
        <w:rPr>
          <w:rFonts w:ascii="Courier New" w:eastAsia="Times New Roman" w:hAnsi="Courier New" w:cs="Courier New"/>
          <w:sz w:val="20"/>
          <w:szCs w:val="20"/>
        </w:rPr>
        <w:t>sigma</w:t>
      </w:r>
      <w:r w:rsidRPr="0050111C">
        <w:rPr>
          <w:rFonts w:ascii="Times New Roman" w:eastAsia="Times New Roman" w:hAnsi="Times New Roman" w:cs="Times New Roman"/>
          <w:sz w:val="24"/>
          <w:szCs w:val="24"/>
        </w:rPr>
        <w:t xml:space="preserve"> = 71,837.5, </w:t>
      </w:r>
      <w:r w:rsidRPr="0050111C">
        <w:rPr>
          <w:rFonts w:ascii="Courier New" w:eastAsia="Times New Roman" w:hAnsi="Courier New" w:cs="Courier New"/>
          <w:sz w:val="20"/>
          <w:szCs w:val="20"/>
        </w:rPr>
        <w:t>p1</w:t>
      </w:r>
      <w:r w:rsidRPr="0050111C">
        <w:rPr>
          <w:rFonts w:ascii="Times New Roman" w:eastAsia="Times New Roman" w:hAnsi="Times New Roman" w:cs="Times New Roman"/>
          <w:sz w:val="24"/>
          <w:szCs w:val="24"/>
        </w:rPr>
        <w:t xml:space="preserve"> = 30,889.3, </w:t>
      </w:r>
      <w:r w:rsidRPr="0050111C">
        <w:rPr>
          <w:rFonts w:ascii="Courier New" w:eastAsia="Times New Roman" w:hAnsi="Courier New" w:cs="Courier New"/>
          <w:sz w:val="20"/>
          <w:szCs w:val="20"/>
        </w:rPr>
        <w:t>G</w:t>
      </w:r>
      <w:r w:rsidRPr="0050111C">
        <w:rPr>
          <w:rFonts w:ascii="Times New Roman" w:eastAsia="Times New Roman" w:hAnsi="Times New Roman" w:cs="Times New Roman"/>
          <w:sz w:val="24"/>
          <w:szCs w:val="24"/>
        </w:rPr>
        <w:t xml:space="preserve"> = 19,552.5, and </w:t>
      </w:r>
      <w:r w:rsidRPr="0050111C">
        <w:rPr>
          <w:rFonts w:ascii="Courier New" w:eastAsia="Times New Roman" w:hAnsi="Courier New" w:cs="Courier New"/>
          <w:sz w:val="20"/>
          <w:szCs w:val="20"/>
        </w:rPr>
        <w:t>method</w:t>
      </w:r>
      <w:r w:rsidRPr="0050111C">
        <w:rPr>
          <w:rFonts w:ascii="Times New Roman" w:eastAsia="Times New Roman" w:hAnsi="Times New Roman" w:cs="Times New Roman"/>
          <w:sz w:val="24"/>
          <w:szCs w:val="24"/>
        </w:rPr>
        <w:t xml:space="preserve"> = 17,207.1. For </w:t>
      </w:r>
      <w:proofErr w:type="spellStart"/>
      <w:r w:rsidRPr="0050111C">
        <w:rPr>
          <w:rFonts w:ascii="Times New Roman" w:eastAsia="Times New Roman" w:hAnsi="Times New Roman" w:cs="Times New Roman"/>
          <w:sz w:val="24"/>
          <w:szCs w:val="24"/>
        </w:rPr>
        <w:t>Linf</w:t>
      </w:r>
      <w:proofErr w:type="spellEnd"/>
      <w:r w:rsidRPr="0050111C">
        <w:rPr>
          <w:rFonts w:ascii="Times New Roman" w:eastAsia="Times New Roman" w:hAnsi="Times New Roman" w:cs="Times New Roman"/>
          <w:sz w:val="24"/>
          <w:szCs w:val="24"/>
        </w:rPr>
        <w:t xml:space="preserve">, the largest are </w:t>
      </w:r>
      <w:r w:rsidRPr="0050111C">
        <w:rPr>
          <w:rFonts w:ascii="Courier New" w:eastAsia="Times New Roman" w:hAnsi="Courier New" w:cs="Courier New"/>
          <w:sz w:val="20"/>
          <w:szCs w:val="20"/>
        </w:rPr>
        <w:t>sigma</w:t>
      </w:r>
      <w:r w:rsidRPr="0050111C">
        <w:rPr>
          <w:rFonts w:ascii="Times New Roman" w:eastAsia="Times New Roman" w:hAnsi="Times New Roman" w:cs="Times New Roman"/>
          <w:sz w:val="24"/>
          <w:szCs w:val="24"/>
        </w:rPr>
        <w:t xml:space="preserve"> = 68,323.2, </w:t>
      </w:r>
      <w:r w:rsidRPr="0050111C">
        <w:rPr>
          <w:rFonts w:ascii="Courier New" w:eastAsia="Times New Roman" w:hAnsi="Courier New" w:cs="Courier New"/>
          <w:sz w:val="20"/>
          <w:szCs w:val="20"/>
        </w:rPr>
        <w:t>p1</w:t>
      </w:r>
      <w:r w:rsidRPr="0050111C">
        <w:rPr>
          <w:rFonts w:ascii="Times New Roman" w:eastAsia="Times New Roman" w:hAnsi="Times New Roman" w:cs="Times New Roman"/>
          <w:sz w:val="24"/>
          <w:szCs w:val="24"/>
        </w:rPr>
        <w:t xml:space="preserve"> = 28,401.5, </w:t>
      </w:r>
      <w:r w:rsidRPr="0050111C">
        <w:rPr>
          <w:rFonts w:ascii="Courier New" w:eastAsia="Times New Roman" w:hAnsi="Courier New" w:cs="Courier New"/>
          <w:sz w:val="20"/>
          <w:szCs w:val="20"/>
        </w:rPr>
        <w:t>G</w:t>
      </w:r>
      <w:r w:rsidRPr="0050111C">
        <w:rPr>
          <w:rFonts w:ascii="Times New Roman" w:eastAsia="Times New Roman" w:hAnsi="Times New Roman" w:cs="Times New Roman"/>
          <w:sz w:val="24"/>
          <w:szCs w:val="24"/>
        </w:rPr>
        <w:t xml:space="preserve"> = 19,202.2, and </w:t>
      </w:r>
      <w:r w:rsidRPr="0050111C">
        <w:rPr>
          <w:rFonts w:ascii="Courier New" w:eastAsia="Times New Roman" w:hAnsi="Courier New" w:cs="Courier New"/>
          <w:sz w:val="20"/>
          <w:szCs w:val="20"/>
        </w:rPr>
        <w:t>method</w:t>
      </w:r>
      <w:r w:rsidRPr="0050111C">
        <w:rPr>
          <w:rFonts w:ascii="Times New Roman" w:eastAsia="Times New Roman" w:hAnsi="Times New Roman" w:cs="Times New Roman"/>
          <w:sz w:val="24"/>
          <w:szCs w:val="24"/>
        </w:rPr>
        <w:t xml:space="preserve"> = 17,560.8.</w:t>
      </w:r>
    </w:p>
    <w:p w14:paraId="7AAEC780"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The practical ordering is 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501"/>
        <w:gridCol w:w="8193"/>
      </w:tblGrid>
      <w:tr w:rsidR="0050111C" w:rsidRPr="0050111C" w14:paraId="5964ED7F" w14:textId="77777777" w:rsidTr="0050111C">
        <w:trPr>
          <w:tblHeader/>
          <w:tblCellSpacing w:w="15" w:type="dxa"/>
        </w:trPr>
        <w:tc>
          <w:tcPr>
            <w:tcW w:w="0" w:type="auto"/>
            <w:vAlign w:val="center"/>
            <w:hideMark/>
          </w:tcPr>
          <w:p w14:paraId="1E286E64" w14:textId="77777777" w:rsidR="0050111C" w:rsidRPr="0050111C" w:rsidRDefault="0050111C" w:rsidP="0050111C">
            <w:pPr>
              <w:spacing w:after="0" w:line="240" w:lineRule="auto"/>
              <w:jc w:val="right"/>
              <w:rPr>
                <w:rFonts w:ascii="Times New Roman" w:eastAsia="Times New Roman" w:hAnsi="Times New Roman" w:cs="Times New Roman"/>
                <w:b/>
                <w:bCs/>
                <w:sz w:val="24"/>
                <w:szCs w:val="24"/>
              </w:rPr>
            </w:pPr>
            <w:r w:rsidRPr="0050111C">
              <w:rPr>
                <w:rFonts w:ascii="Times New Roman" w:eastAsia="Times New Roman" w:hAnsi="Times New Roman" w:cs="Times New Roman"/>
                <w:b/>
                <w:bCs/>
                <w:sz w:val="24"/>
                <w:szCs w:val="24"/>
              </w:rPr>
              <w:lastRenderedPageBreak/>
              <w:t>Rank</w:t>
            </w:r>
          </w:p>
        </w:tc>
        <w:tc>
          <w:tcPr>
            <w:tcW w:w="0" w:type="auto"/>
            <w:vAlign w:val="center"/>
            <w:hideMark/>
          </w:tcPr>
          <w:p w14:paraId="101FB398" w14:textId="77777777" w:rsidR="0050111C" w:rsidRPr="0050111C" w:rsidRDefault="0050111C" w:rsidP="0050111C">
            <w:pPr>
              <w:spacing w:after="0" w:line="240" w:lineRule="auto"/>
              <w:jc w:val="center"/>
              <w:rPr>
                <w:rFonts w:ascii="Times New Roman" w:eastAsia="Times New Roman" w:hAnsi="Times New Roman" w:cs="Times New Roman"/>
                <w:b/>
                <w:bCs/>
                <w:sz w:val="24"/>
                <w:szCs w:val="24"/>
              </w:rPr>
            </w:pPr>
            <w:r w:rsidRPr="0050111C">
              <w:rPr>
                <w:rFonts w:ascii="Times New Roman" w:eastAsia="Times New Roman" w:hAnsi="Times New Roman" w:cs="Times New Roman"/>
                <w:b/>
                <w:bCs/>
                <w:sz w:val="24"/>
                <w:szCs w:val="24"/>
              </w:rPr>
              <w:t>Factor</w:t>
            </w:r>
          </w:p>
        </w:tc>
        <w:tc>
          <w:tcPr>
            <w:tcW w:w="0" w:type="auto"/>
            <w:vAlign w:val="center"/>
            <w:hideMark/>
          </w:tcPr>
          <w:p w14:paraId="2B3989B7" w14:textId="77777777" w:rsidR="0050111C" w:rsidRPr="0050111C" w:rsidRDefault="0050111C" w:rsidP="0050111C">
            <w:pPr>
              <w:spacing w:after="0" w:line="240" w:lineRule="auto"/>
              <w:jc w:val="center"/>
              <w:rPr>
                <w:rFonts w:ascii="Times New Roman" w:eastAsia="Times New Roman" w:hAnsi="Times New Roman" w:cs="Times New Roman"/>
                <w:b/>
                <w:bCs/>
                <w:sz w:val="24"/>
                <w:szCs w:val="24"/>
              </w:rPr>
            </w:pPr>
            <w:r w:rsidRPr="0050111C">
              <w:rPr>
                <w:rFonts w:ascii="Times New Roman" w:eastAsia="Times New Roman" w:hAnsi="Times New Roman" w:cs="Times New Roman"/>
                <w:b/>
                <w:bCs/>
                <w:sz w:val="24"/>
                <w:szCs w:val="24"/>
              </w:rPr>
              <w:t>Interpretation</w:t>
            </w:r>
          </w:p>
        </w:tc>
      </w:tr>
      <w:tr w:rsidR="0050111C" w:rsidRPr="0050111C" w14:paraId="3891B5C9" w14:textId="77777777" w:rsidTr="0050111C">
        <w:trPr>
          <w:tblCellSpacing w:w="15" w:type="dxa"/>
        </w:trPr>
        <w:tc>
          <w:tcPr>
            <w:tcW w:w="0" w:type="auto"/>
            <w:vAlign w:val="center"/>
            <w:hideMark/>
          </w:tcPr>
          <w:p w14:paraId="0FF80DF0"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1</w:t>
            </w:r>
          </w:p>
        </w:tc>
        <w:tc>
          <w:tcPr>
            <w:tcW w:w="0" w:type="auto"/>
            <w:vAlign w:val="center"/>
            <w:hideMark/>
          </w:tcPr>
          <w:p w14:paraId="3A3B59C6"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Courier New" w:eastAsia="Times New Roman" w:hAnsi="Courier New" w:cs="Courier New"/>
                <w:sz w:val="20"/>
                <w:szCs w:val="20"/>
              </w:rPr>
              <w:t>sigma</w:t>
            </w:r>
          </w:p>
        </w:tc>
        <w:tc>
          <w:tcPr>
            <w:tcW w:w="0" w:type="auto"/>
            <w:vAlign w:val="center"/>
            <w:hideMark/>
          </w:tcPr>
          <w:p w14:paraId="11EFD381"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Dominant driver of error; higher dispersion sharply increases error</w:t>
            </w:r>
          </w:p>
        </w:tc>
      </w:tr>
      <w:tr w:rsidR="0050111C" w:rsidRPr="0050111C" w14:paraId="6538CF75" w14:textId="77777777" w:rsidTr="0050111C">
        <w:trPr>
          <w:tblCellSpacing w:w="15" w:type="dxa"/>
        </w:trPr>
        <w:tc>
          <w:tcPr>
            <w:tcW w:w="0" w:type="auto"/>
            <w:vAlign w:val="center"/>
            <w:hideMark/>
          </w:tcPr>
          <w:p w14:paraId="48F7A328"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2</w:t>
            </w:r>
          </w:p>
        </w:tc>
        <w:tc>
          <w:tcPr>
            <w:tcW w:w="0" w:type="auto"/>
            <w:vAlign w:val="center"/>
            <w:hideMark/>
          </w:tcPr>
          <w:p w14:paraId="5F3B05C7"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Courier New" w:eastAsia="Times New Roman" w:hAnsi="Courier New" w:cs="Courier New"/>
                <w:sz w:val="20"/>
                <w:szCs w:val="20"/>
              </w:rPr>
              <w:t>p1</w:t>
            </w:r>
          </w:p>
        </w:tc>
        <w:tc>
          <w:tcPr>
            <w:tcW w:w="0" w:type="auto"/>
            <w:vAlign w:val="center"/>
            <w:hideMark/>
          </w:tcPr>
          <w:p w14:paraId="765991BC"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Strong simplex-position effect; accuracy depends on where the true composition lies</w:t>
            </w:r>
          </w:p>
        </w:tc>
      </w:tr>
      <w:tr w:rsidR="0050111C" w:rsidRPr="0050111C" w14:paraId="1E5BF4F5" w14:textId="77777777" w:rsidTr="0050111C">
        <w:trPr>
          <w:tblCellSpacing w:w="15" w:type="dxa"/>
        </w:trPr>
        <w:tc>
          <w:tcPr>
            <w:tcW w:w="0" w:type="auto"/>
            <w:vAlign w:val="center"/>
            <w:hideMark/>
          </w:tcPr>
          <w:p w14:paraId="4F7BA693"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3</w:t>
            </w:r>
          </w:p>
        </w:tc>
        <w:tc>
          <w:tcPr>
            <w:tcW w:w="0" w:type="auto"/>
            <w:vAlign w:val="center"/>
            <w:hideMark/>
          </w:tcPr>
          <w:p w14:paraId="55B244E5"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Courier New" w:eastAsia="Times New Roman" w:hAnsi="Courier New" w:cs="Courier New"/>
                <w:sz w:val="20"/>
                <w:szCs w:val="20"/>
              </w:rPr>
              <w:t>G</w:t>
            </w:r>
          </w:p>
        </w:tc>
        <w:tc>
          <w:tcPr>
            <w:tcW w:w="0" w:type="auto"/>
            <w:vAlign w:val="center"/>
            <w:hideMark/>
          </w:tcPr>
          <w:p w14:paraId="3309E9D2"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Strong influence; increasing sampled groups generally reduces error</w:t>
            </w:r>
          </w:p>
        </w:tc>
      </w:tr>
      <w:tr w:rsidR="0050111C" w:rsidRPr="0050111C" w14:paraId="363EF1F0" w14:textId="77777777" w:rsidTr="0050111C">
        <w:trPr>
          <w:tblCellSpacing w:w="15" w:type="dxa"/>
        </w:trPr>
        <w:tc>
          <w:tcPr>
            <w:tcW w:w="0" w:type="auto"/>
            <w:vAlign w:val="center"/>
            <w:hideMark/>
          </w:tcPr>
          <w:p w14:paraId="48D12269"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4</w:t>
            </w:r>
          </w:p>
        </w:tc>
        <w:tc>
          <w:tcPr>
            <w:tcW w:w="0" w:type="auto"/>
            <w:vAlign w:val="center"/>
            <w:hideMark/>
          </w:tcPr>
          <w:p w14:paraId="1A21F3F5"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Courier New" w:eastAsia="Times New Roman" w:hAnsi="Courier New" w:cs="Courier New"/>
                <w:sz w:val="20"/>
                <w:szCs w:val="20"/>
              </w:rPr>
              <w:t>method</w:t>
            </w:r>
          </w:p>
        </w:tc>
        <w:tc>
          <w:tcPr>
            <w:tcW w:w="0" w:type="auto"/>
            <w:vAlign w:val="center"/>
            <w:hideMark/>
          </w:tcPr>
          <w:p w14:paraId="2398C15E"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Large and consistent effect, but smaller than </w:t>
            </w:r>
            <w:r w:rsidRPr="0050111C">
              <w:rPr>
                <w:rFonts w:ascii="Courier New" w:eastAsia="Times New Roman" w:hAnsi="Courier New" w:cs="Courier New"/>
                <w:sz w:val="20"/>
                <w:szCs w:val="20"/>
              </w:rPr>
              <w:t>sigma</w:t>
            </w:r>
            <w:r w:rsidRPr="0050111C">
              <w:rPr>
                <w:rFonts w:ascii="Times New Roman" w:eastAsia="Times New Roman" w:hAnsi="Times New Roman" w:cs="Times New Roman"/>
                <w:sz w:val="24"/>
                <w:szCs w:val="24"/>
              </w:rPr>
              <w:t xml:space="preserve">, </w:t>
            </w:r>
            <w:r w:rsidRPr="0050111C">
              <w:rPr>
                <w:rFonts w:ascii="Courier New" w:eastAsia="Times New Roman" w:hAnsi="Courier New" w:cs="Courier New"/>
                <w:sz w:val="20"/>
                <w:szCs w:val="20"/>
              </w:rPr>
              <w:t>p1</w:t>
            </w:r>
            <w:r w:rsidRPr="0050111C">
              <w:rPr>
                <w:rFonts w:ascii="Times New Roman" w:eastAsia="Times New Roman" w:hAnsi="Times New Roman" w:cs="Times New Roman"/>
                <w:sz w:val="24"/>
                <w:szCs w:val="24"/>
              </w:rPr>
              <w:t xml:space="preserve">, and </w:t>
            </w:r>
            <w:r w:rsidRPr="0050111C">
              <w:rPr>
                <w:rFonts w:ascii="Courier New" w:eastAsia="Times New Roman" w:hAnsi="Courier New" w:cs="Courier New"/>
                <w:sz w:val="20"/>
                <w:szCs w:val="20"/>
              </w:rPr>
              <w:t>G</w:t>
            </w:r>
          </w:p>
        </w:tc>
      </w:tr>
      <w:tr w:rsidR="0050111C" w:rsidRPr="0050111C" w14:paraId="4558000B" w14:textId="77777777" w:rsidTr="0050111C">
        <w:trPr>
          <w:tblCellSpacing w:w="15" w:type="dxa"/>
        </w:trPr>
        <w:tc>
          <w:tcPr>
            <w:tcW w:w="0" w:type="auto"/>
            <w:vAlign w:val="center"/>
            <w:hideMark/>
          </w:tcPr>
          <w:p w14:paraId="27D46645"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5</w:t>
            </w:r>
          </w:p>
        </w:tc>
        <w:tc>
          <w:tcPr>
            <w:tcW w:w="0" w:type="auto"/>
            <w:vAlign w:val="center"/>
            <w:hideMark/>
          </w:tcPr>
          <w:p w14:paraId="1A6435FE"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Courier New" w:eastAsia="Times New Roman" w:hAnsi="Courier New" w:cs="Courier New"/>
                <w:sz w:val="20"/>
                <w:szCs w:val="20"/>
              </w:rPr>
              <w:t>p2</w:t>
            </w:r>
          </w:p>
        </w:tc>
        <w:tc>
          <w:tcPr>
            <w:tcW w:w="0" w:type="auto"/>
            <w:vAlign w:val="center"/>
            <w:hideMark/>
          </w:tcPr>
          <w:p w14:paraId="11780B59"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Clear but secondary simplex-position effect</w:t>
            </w:r>
          </w:p>
        </w:tc>
      </w:tr>
      <w:tr w:rsidR="0050111C" w:rsidRPr="0050111C" w14:paraId="0A9C5A9A" w14:textId="77777777" w:rsidTr="0050111C">
        <w:trPr>
          <w:tblCellSpacing w:w="15" w:type="dxa"/>
        </w:trPr>
        <w:tc>
          <w:tcPr>
            <w:tcW w:w="0" w:type="auto"/>
            <w:vAlign w:val="center"/>
            <w:hideMark/>
          </w:tcPr>
          <w:p w14:paraId="5C066E00"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6</w:t>
            </w:r>
          </w:p>
        </w:tc>
        <w:tc>
          <w:tcPr>
            <w:tcW w:w="0" w:type="auto"/>
            <w:vAlign w:val="center"/>
            <w:hideMark/>
          </w:tcPr>
          <w:p w14:paraId="7DB6E531" w14:textId="77777777" w:rsidR="0050111C" w:rsidRPr="0050111C" w:rsidRDefault="0050111C" w:rsidP="0050111C">
            <w:pPr>
              <w:spacing w:after="0" w:line="240" w:lineRule="auto"/>
              <w:rPr>
                <w:rFonts w:ascii="Times New Roman" w:eastAsia="Times New Roman" w:hAnsi="Times New Roman" w:cs="Times New Roman"/>
                <w:sz w:val="24"/>
                <w:szCs w:val="24"/>
              </w:rPr>
            </w:pPr>
            <w:proofErr w:type="spellStart"/>
            <w:r w:rsidRPr="0050111C">
              <w:rPr>
                <w:rFonts w:ascii="Courier New" w:eastAsia="Times New Roman" w:hAnsi="Courier New" w:cs="Courier New"/>
                <w:sz w:val="20"/>
                <w:szCs w:val="20"/>
              </w:rPr>
              <w:t>design_block</w:t>
            </w:r>
            <w:proofErr w:type="spellEnd"/>
          </w:p>
        </w:tc>
        <w:tc>
          <w:tcPr>
            <w:tcW w:w="0" w:type="auto"/>
            <w:vAlign w:val="center"/>
            <w:hideMark/>
          </w:tcPr>
          <w:p w14:paraId="6C8377EB"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Statistically visible, but much smaller practical effect</w:t>
            </w:r>
          </w:p>
        </w:tc>
      </w:tr>
      <w:tr w:rsidR="0050111C" w:rsidRPr="0050111C" w14:paraId="5A4617D5" w14:textId="77777777" w:rsidTr="0050111C">
        <w:trPr>
          <w:tblCellSpacing w:w="15" w:type="dxa"/>
        </w:trPr>
        <w:tc>
          <w:tcPr>
            <w:tcW w:w="0" w:type="auto"/>
            <w:vAlign w:val="center"/>
            <w:hideMark/>
          </w:tcPr>
          <w:p w14:paraId="2B4C6C89"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7</w:t>
            </w:r>
          </w:p>
        </w:tc>
        <w:tc>
          <w:tcPr>
            <w:tcW w:w="0" w:type="auto"/>
            <w:vAlign w:val="center"/>
            <w:hideMark/>
          </w:tcPr>
          <w:p w14:paraId="2DEC8C27" w14:textId="77777777" w:rsidR="0050111C" w:rsidRPr="0050111C" w:rsidRDefault="0050111C" w:rsidP="0050111C">
            <w:pPr>
              <w:spacing w:after="0" w:line="240" w:lineRule="auto"/>
              <w:rPr>
                <w:rFonts w:ascii="Times New Roman" w:eastAsia="Times New Roman" w:hAnsi="Times New Roman" w:cs="Times New Roman"/>
                <w:sz w:val="24"/>
                <w:szCs w:val="24"/>
              </w:rPr>
            </w:pPr>
            <w:proofErr w:type="spellStart"/>
            <w:r w:rsidRPr="0050111C">
              <w:rPr>
                <w:rFonts w:ascii="Courier New" w:eastAsia="Times New Roman" w:hAnsi="Courier New" w:cs="Courier New"/>
                <w:sz w:val="20"/>
                <w:szCs w:val="20"/>
              </w:rPr>
              <w:t>theta_true</w:t>
            </w:r>
            <w:proofErr w:type="spellEnd"/>
          </w:p>
        </w:tc>
        <w:tc>
          <w:tcPr>
            <w:tcW w:w="0" w:type="auto"/>
            <w:vAlign w:val="center"/>
            <w:hideMark/>
          </w:tcPr>
          <w:p w14:paraId="66C97979"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Small effect</w:t>
            </w:r>
          </w:p>
        </w:tc>
      </w:tr>
      <w:tr w:rsidR="0050111C" w:rsidRPr="0050111C" w14:paraId="14264892" w14:textId="77777777" w:rsidTr="0050111C">
        <w:trPr>
          <w:tblCellSpacing w:w="15" w:type="dxa"/>
        </w:trPr>
        <w:tc>
          <w:tcPr>
            <w:tcW w:w="0" w:type="auto"/>
            <w:vAlign w:val="center"/>
            <w:hideMark/>
          </w:tcPr>
          <w:p w14:paraId="4E0D3067"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8</w:t>
            </w:r>
          </w:p>
        </w:tc>
        <w:tc>
          <w:tcPr>
            <w:tcW w:w="0" w:type="auto"/>
            <w:vAlign w:val="center"/>
            <w:hideMark/>
          </w:tcPr>
          <w:p w14:paraId="6B06BA14" w14:textId="77777777" w:rsidR="0050111C" w:rsidRPr="0050111C" w:rsidRDefault="0050111C" w:rsidP="0050111C">
            <w:pPr>
              <w:spacing w:after="0" w:line="240" w:lineRule="auto"/>
              <w:rPr>
                <w:rFonts w:ascii="Times New Roman" w:eastAsia="Times New Roman" w:hAnsi="Times New Roman" w:cs="Times New Roman"/>
                <w:sz w:val="24"/>
                <w:szCs w:val="24"/>
              </w:rPr>
            </w:pPr>
            <w:proofErr w:type="spellStart"/>
            <w:r w:rsidRPr="0050111C">
              <w:rPr>
                <w:rFonts w:ascii="Courier New" w:eastAsia="Times New Roman" w:hAnsi="Courier New" w:cs="Courier New"/>
                <w:sz w:val="20"/>
                <w:szCs w:val="20"/>
              </w:rPr>
              <w:t>mean_nsamp</w:t>
            </w:r>
            <w:proofErr w:type="spellEnd"/>
          </w:p>
        </w:tc>
        <w:tc>
          <w:tcPr>
            <w:tcW w:w="0" w:type="auto"/>
            <w:vAlign w:val="center"/>
            <w:hideMark/>
          </w:tcPr>
          <w:p w14:paraId="7C1D8939"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Small main effect, but important through method interaction</w:t>
            </w:r>
          </w:p>
        </w:tc>
      </w:tr>
      <w:tr w:rsidR="0050111C" w:rsidRPr="0050111C" w14:paraId="411C28F6" w14:textId="77777777" w:rsidTr="0050111C">
        <w:trPr>
          <w:tblCellSpacing w:w="15" w:type="dxa"/>
        </w:trPr>
        <w:tc>
          <w:tcPr>
            <w:tcW w:w="0" w:type="auto"/>
            <w:vAlign w:val="center"/>
            <w:hideMark/>
          </w:tcPr>
          <w:p w14:paraId="1BBABC11"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9</w:t>
            </w:r>
          </w:p>
        </w:tc>
        <w:tc>
          <w:tcPr>
            <w:tcW w:w="0" w:type="auto"/>
            <w:vAlign w:val="center"/>
            <w:hideMark/>
          </w:tcPr>
          <w:p w14:paraId="65CDA666" w14:textId="77777777" w:rsidR="0050111C" w:rsidRPr="0050111C" w:rsidRDefault="0050111C" w:rsidP="0050111C">
            <w:pPr>
              <w:spacing w:after="0" w:line="240" w:lineRule="auto"/>
              <w:rPr>
                <w:rFonts w:ascii="Times New Roman" w:eastAsia="Times New Roman" w:hAnsi="Times New Roman" w:cs="Times New Roman"/>
                <w:sz w:val="24"/>
                <w:szCs w:val="24"/>
              </w:rPr>
            </w:pPr>
            <w:proofErr w:type="spellStart"/>
            <w:r w:rsidRPr="0050111C">
              <w:rPr>
                <w:rFonts w:ascii="Courier New" w:eastAsia="Times New Roman" w:hAnsi="Courier New" w:cs="Courier New"/>
                <w:sz w:val="20"/>
                <w:szCs w:val="20"/>
              </w:rPr>
              <w:t>theta_CV</w:t>
            </w:r>
            <w:proofErr w:type="spellEnd"/>
          </w:p>
        </w:tc>
        <w:tc>
          <w:tcPr>
            <w:tcW w:w="0" w:type="auto"/>
            <w:vAlign w:val="center"/>
            <w:hideMark/>
          </w:tcPr>
          <w:p w14:paraId="1D75892C"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Weakest main effect</w:t>
            </w:r>
          </w:p>
        </w:tc>
      </w:tr>
    </w:tbl>
    <w:p w14:paraId="705C463F"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weakest terms are consistently </w:t>
      </w:r>
      <w:proofErr w:type="spellStart"/>
      <w:r w:rsidRPr="0050111C">
        <w:rPr>
          <w:rFonts w:ascii="Courier New" w:eastAsia="Times New Roman" w:hAnsi="Courier New" w:cs="Courier New"/>
          <w:sz w:val="20"/>
          <w:szCs w:val="20"/>
        </w:rPr>
        <w:t>theta_CV</w:t>
      </w:r>
      <w:proofErr w:type="spellEnd"/>
      <w:r w:rsidRPr="0050111C">
        <w:rPr>
          <w:rFonts w:ascii="Times New Roman" w:eastAsia="Times New Roman" w:hAnsi="Times New Roman" w:cs="Times New Roman"/>
          <w:sz w:val="24"/>
          <w:szCs w:val="24"/>
        </w:rPr>
        <w:t xml:space="preserve">, </w:t>
      </w:r>
      <w:proofErr w:type="spellStart"/>
      <w:r w:rsidRPr="0050111C">
        <w:rPr>
          <w:rFonts w:ascii="Courier New" w:eastAsia="Times New Roman" w:hAnsi="Courier New" w:cs="Courier New"/>
          <w:sz w:val="20"/>
          <w:szCs w:val="20"/>
        </w:rPr>
        <w:t>mean_nsamp</w:t>
      </w:r>
      <w:proofErr w:type="spellEnd"/>
      <w:r w:rsidRPr="0050111C">
        <w:rPr>
          <w:rFonts w:ascii="Times New Roman" w:eastAsia="Times New Roman" w:hAnsi="Times New Roman" w:cs="Times New Roman"/>
          <w:sz w:val="24"/>
          <w:szCs w:val="24"/>
        </w:rPr>
        <w:t xml:space="preserve">, and </w:t>
      </w:r>
      <w:proofErr w:type="spellStart"/>
      <w:r w:rsidRPr="0050111C">
        <w:rPr>
          <w:rFonts w:ascii="Courier New" w:eastAsia="Times New Roman" w:hAnsi="Courier New" w:cs="Courier New"/>
          <w:sz w:val="20"/>
          <w:szCs w:val="20"/>
        </w:rPr>
        <w:t>method:theta_CV</w:t>
      </w:r>
      <w:proofErr w:type="spellEnd"/>
      <w:r w:rsidRPr="0050111C">
        <w:rPr>
          <w:rFonts w:ascii="Times New Roman" w:eastAsia="Times New Roman" w:hAnsi="Times New Roman" w:cs="Times New Roman"/>
          <w:sz w:val="24"/>
          <w:szCs w:val="24"/>
        </w:rPr>
        <w:t xml:space="preserve">. The </w:t>
      </w:r>
      <w:proofErr w:type="spellStart"/>
      <w:r w:rsidRPr="0050111C">
        <w:rPr>
          <w:rFonts w:ascii="Courier New" w:eastAsia="Times New Roman" w:hAnsi="Courier New" w:cs="Courier New"/>
          <w:sz w:val="20"/>
          <w:szCs w:val="20"/>
        </w:rPr>
        <w:t>method:theta_CV</w:t>
      </w:r>
      <w:proofErr w:type="spellEnd"/>
      <w:r w:rsidRPr="0050111C">
        <w:rPr>
          <w:rFonts w:ascii="Times New Roman" w:eastAsia="Times New Roman" w:hAnsi="Times New Roman" w:cs="Times New Roman"/>
          <w:sz w:val="24"/>
          <w:szCs w:val="24"/>
        </w:rPr>
        <w:t xml:space="preserve"> F-statistics are only about 1.6–1.7 across the three metrics, which indicates little evidence that the methods differ meaningfully in response to </w:t>
      </w:r>
      <w:proofErr w:type="spellStart"/>
      <w:r w:rsidRPr="0050111C">
        <w:rPr>
          <w:rFonts w:ascii="Courier New" w:eastAsia="Times New Roman" w:hAnsi="Courier New" w:cs="Courier New"/>
          <w:sz w:val="20"/>
          <w:szCs w:val="20"/>
        </w:rPr>
        <w:t>theta_CV</w:t>
      </w:r>
      <w:proofErr w:type="spellEnd"/>
      <w:r w:rsidRPr="0050111C">
        <w:rPr>
          <w:rFonts w:ascii="Times New Roman" w:eastAsia="Times New Roman" w:hAnsi="Times New Roman" w:cs="Times New Roman"/>
          <w:sz w:val="24"/>
          <w:szCs w:val="24"/>
        </w:rPr>
        <w:t>.</w:t>
      </w:r>
    </w:p>
    <w:p w14:paraId="1EFFD9C5" w14:textId="77777777" w:rsidR="0050111C" w:rsidRPr="0050111C" w:rsidRDefault="0050111C" w:rsidP="0050111C">
      <w:pPr>
        <w:spacing w:before="100" w:beforeAutospacing="1" w:after="100" w:afterAutospacing="1" w:line="240" w:lineRule="auto"/>
        <w:outlineLvl w:val="1"/>
        <w:rPr>
          <w:rFonts w:ascii="Times New Roman" w:eastAsia="Times New Roman" w:hAnsi="Times New Roman" w:cs="Times New Roman"/>
          <w:b/>
          <w:bCs/>
          <w:sz w:val="36"/>
          <w:szCs w:val="36"/>
        </w:rPr>
      </w:pPr>
      <w:r w:rsidRPr="0050111C">
        <w:rPr>
          <w:rFonts w:ascii="Times New Roman" w:eastAsia="Times New Roman" w:hAnsi="Times New Roman" w:cs="Times New Roman"/>
          <w:b/>
          <w:bCs/>
          <w:sz w:val="36"/>
          <w:szCs w:val="36"/>
        </w:rPr>
        <w:t>3. Comparative method performance</w:t>
      </w:r>
    </w:p>
    <w:p w14:paraId="58523035"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fixed-effect coefficients show that methods iii, iv, and v have substantially lower log-transformed errors than method </w:t>
      </w:r>
      <w:proofErr w:type="spellStart"/>
      <w:r w:rsidRPr="0050111C">
        <w:rPr>
          <w:rFonts w:ascii="Times New Roman" w:eastAsia="Times New Roman" w:hAnsi="Times New Roman" w:cs="Times New Roman"/>
          <w:sz w:val="24"/>
          <w:szCs w:val="24"/>
        </w:rPr>
        <w:t>i</w:t>
      </w:r>
      <w:proofErr w:type="spellEnd"/>
      <w:r w:rsidRPr="0050111C">
        <w:rPr>
          <w:rFonts w:ascii="Times New Roman" w:eastAsia="Times New Roman" w:hAnsi="Times New Roman" w:cs="Times New Roman"/>
          <w:sz w:val="24"/>
          <w:szCs w:val="24"/>
        </w:rPr>
        <w:t xml:space="preserve"> under the reference design condition. For RMSE, the method coefficients relative to method </w:t>
      </w:r>
      <w:proofErr w:type="spellStart"/>
      <w:r w:rsidRPr="0050111C">
        <w:rPr>
          <w:rFonts w:ascii="Times New Roman" w:eastAsia="Times New Roman" w:hAnsi="Times New Roman" w:cs="Times New Roman"/>
          <w:sz w:val="24"/>
          <w:szCs w:val="24"/>
        </w:rPr>
        <w:t>i</w:t>
      </w:r>
      <w:proofErr w:type="spellEnd"/>
      <w:r w:rsidRPr="0050111C">
        <w:rPr>
          <w:rFonts w:ascii="Times New Roman" w:eastAsia="Times New Roman" w:hAnsi="Times New Roman" w:cs="Times New Roman"/>
          <w:sz w:val="24"/>
          <w:szCs w:val="24"/>
        </w:rPr>
        <w:t xml:space="preserve"> are approximately −0.0696 for iii, −0.0684 for iv, and −0.0771 for v. For L1, the corresponding coefficients are −0.1470, −0.1456, and −0.1690. For </w:t>
      </w:r>
      <w:proofErr w:type="spellStart"/>
      <w:r w:rsidRPr="0050111C">
        <w:rPr>
          <w:rFonts w:ascii="Times New Roman" w:eastAsia="Times New Roman" w:hAnsi="Times New Roman" w:cs="Times New Roman"/>
          <w:sz w:val="24"/>
          <w:szCs w:val="24"/>
        </w:rPr>
        <w:t>Linf</w:t>
      </w:r>
      <w:proofErr w:type="spellEnd"/>
      <w:r w:rsidRPr="0050111C">
        <w:rPr>
          <w:rFonts w:ascii="Times New Roman" w:eastAsia="Times New Roman" w:hAnsi="Times New Roman" w:cs="Times New Roman"/>
          <w:sz w:val="24"/>
          <w:szCs w:val="24"/>
        </w:rPr>
        <w:t>, they are −0.0938, −0.0928, and −0.1060. These are all large negative shifts on the log1p(error) scale, meaning lower error.</w:t>
      </w:r>
    </w:p>
    <w:p w14:paraId="641052B2"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The safest comparative conclusion from Code B alone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7427"/>
      </w:tblGrid>
      <w:tr w:rsidR="0050111C" w:rsidRPr="0050111C" w14:paraId="5C57D2F0" w14:textId="77777777" w:rsidTr="0050111C">
        <w:trPr>
          <w:tblHeader/>
          <w:tblCellSpacing w:w="15" w:type="dxa"/>
        </w:trPr>
        <w:tc>
          <w:tcPr>
            <w:tcW w:w="0" w:type="auto"/>
            <w:vAlign w:val="center"/>
            <w:hideMark/>
          </w:tcPr>
          <w:p w14:paraId="614150A7" w14:textId="77777777" w:rsidR="0050111C" w:rsidRPr="0050111C" w:rsidRDefault="0050111C" w:rsidP="0050111C">
            <w:pPr>
              <w:spacing w:after="0" w:line="240" w:lineRule="auto"/>
              <w:jc w:val="center"/>
              <w:rPr>
                <w:rFonts w:ascii="Times New Roman" w:eastAsia="Times New Roman" w:hAnsi="Times New Roman" w:cs="Times New Roman"/>
                <w:b/>
                <w:bCs/>
                <w:sz w:val="24"/>
                <w:szCs w:val="24"/>
              </w:rPr>
            </w:pPr>
            <w:r w:rsidRPr="0050111C">
              <w:rPr>
                <w:rFonts w:ascii="Times New Roman" w:eastAsia="Times New Roman" w:hAnsi="Times New Roman" w:cs="Times New Roman"/>
                <w:b/>
                <w:bCs/>
                <w:sz w:val="24"/>
                <w:szCs w:val="24"/>
              </w:rPr>
              <w:t>Method</w:t>
            </w:r>
          </w:p>
        </w:tc>
        <w:tc>
          <w:tcPr>
            <w:tcW w:w="0" w:type="auto"/>
            <w:vAlign w:val="center"/>
            <w:hideMark/>
          </w:tcPr>
          <w:p w14:paraId="21BFF647" w14:textId="77777777" w:rsidR="0050111C" w:rsidRPr="0050111C" w:rsidRDefault="0050111C" w:rsidP="0050111C">
            <w:pPr>
              <w:spacing w:after="0" w:line="240" w:lineRule="auto"/>
              <w:jc w:val="center"/>
              <w:rPr>
                <w:rFonts w:ascii="Times New Roman" w:eastAsia="Times New Roman" w:hAnsi="Times New Roman" w:cs="Times New Roman"/>
                <w:b/>
                <w:bCs/>
                <w:sz w:val="24"/>
                <w:szCs w:val="24"/>
              </w:rPr>
            </w:pPr>
            <w:r w:rsidRPr="0050111C">
              <w:rPr>
                <w:rFonts w:ascii="Times New Roman" w:eastAsia="Times New Roman" w:hAnsi="Times New Roman" w:cs="Times New Roman"/>
                <w:b/>
                <w:bCs/>
                <w:sz w:val="24"/>
                <w:szCs w:val="24"/>
              </w:rPr>
              <w:t>Interpretation</w:t>
            </w:r>
          </w:p>
        </w:tc>
      </w:tr>
      <w:tr w:rsidR="0050111C" w:rsidRPr="0050111C" w14:paraId="676CBE3E" w14:textId="77777777" w:rsidTr="0050111C">
        <w:trPr>
          <w:tblCellSpacing w:w="15" w:type="dxa"/>
        </w:trPr>
        <w:tc>
          <w:tcPr>
            <w:tcW w:w="0" w:type="auto"/>
            <w:vAlign w:val="center"/>
            <w:hideMark/>
          </w:tcPr>
          <w:p w14:paraId="30443687"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iii</w:t>
            </w:r>
          </w:p>
        </w:tc>
        <w:tc>
          <w:tcPr>
            <w:tcW w:w="0" w:type="auto"/>
            <w:vAlign w:val="center"/>
            <w:hideMark/>
          </w:tcPr>
          <w:p w14:paraId="43EC9DC1"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Globally strong; consistently among the best methods</w:t>
            </w:r>
          </w:p>
        </w:tc>
      </w:tr>
      <w:tr w:rsidR="0050111C" w:rsidRPr="0050111C" w14:paraId="009E0927" w14:textId="77777777" w:rsidTr="0050111C">
        <w:trPr>
          <w:tblCellSpacing w:w="15" w:type="dxa"/>
        </w:trPr>
        <w:tc>
          <w:tcPr>
            <w:tcW w:w="0" w:type="auto"/>
            <w:vAlign w:val="center"/>
            <w:hideMark/>
          </w:tcPr>
          <w:p w14:paraId="51CB3527"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iv</w:t>
            </w:r>
          </w:p>
        </w:tc>
        <w:tc>
          <w:tcPr>
            <w:tcW w:w="0" w:type="auto"/>
            <w:vAlign w:val="center"/>
            <w:hideMark/>
          </w:tcPr>
          <w:p w14:paraId="7BC2F0D5"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Nearly equivalent to iii; highly robust</w:t>
            </w:r>
          </w:p>
        </w:tc>
      </w:tr>
      <w:tr w:rsidR="0050111C" w:rsidRPr="0050111C" w14:paraId="599090FC" w14:textId="77777777" w:rsidTr="0050111C">
        <w:trPr>
          <w:tblCellSpacing w:w="15" w:type="dxa"/>
        </w:trPr>
        <w:tc>
          <w:tcPr>
            <w:tcW w:w="0" w:type="auto"/>
            <w:vAlign w:val="center"/>
            <w:hideMark/>
          </w:tcPr>
          <w:p w14:paraId="49D1D4B1"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v</w:t>
            </w:r>
          </w:p>
        </w:tc>
        <w:tc>
          <w:tcPr>
            <w:tcW w:w="0" w:type="auto"/>
            <w:vAlign w:val="center"/>
            <w:hideMark/>
          </w:tcPr>
          <w:p w14:paraId="11D954A2"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Strong, often best at the reference condition, but more composition-sensitive</w:t>
            </w:r>
          </w:p>
        </w:tc>
      </w:tr>
      <w:tr w:rsidR="0050111C" w:rsidRPr="0050111C" w14:paraId="3D2755BB" w14:textId="77777777" w:rsidTr="0050111C">
        <w:trPr>
          <w:tblCellSpacing w:w="15" w:type="dxa"/>
        </w:trPr>
        <w:tc>
          <w:tcPr>
            <w:tcW w:w="0" w:type="auto"/>
            <w:vAlign w:val="center"/>
            <w:hideMark/>
          </w:tcPr>
          <w:p w14:paraId="1A16EDFD" w14:textId="77777777" w:rsidR="0050111C" w:rsidRPr="0050111C" w:rsidRDefault="0050111C" w:rsidP="0050111C">
            <w:pPr>
              <w:spacing w:after="0" w:line="240" w:lineRule="auto"/>
              <w:rPr>
                <w:rFonts w:ascii="Times New Roman" w:eastAsia="Times New Roman" w:hAnsi="Times New Roman" w:cs="Times New Roman"/>
                <w:sz w:val="24"/>
                <w:szCs w:val="24"/>
              </w:rPr>
            </w:pPr>
            <w:proofErr w:type="spellStart"/>
            <w:r w:rsidRPr="0050111C">
              <w:rPr>
                <w:rFonts w:ascii="Times New Roman" w:eastAsia="Times New Roman" w:hAnsi="Times New Roman" w:cs="Times New Roman"/>
                <w:sz w:val="24"/>
                <w:szCs w:val="24"/>
              </w:rPr>
              <w:t>i</w:t>
            </w:r>
            <w:proofErr w:type="spellEnd"/>
          </w:p>
        </w:tc>
        <w:tc>
          <w:tcPr>
            <w:tcW w:w="0" w:type="auto"/>
            <w:vAlign w:val="center"/>
            <w:hideMark/>
          </w:tcPr>
          <w:p w14:paraId="7CB4BF99"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Inferior to iii/iv/v overall</w:t>
            </w:r>
          </w:p>
        </w:tc>
      </w:tr>
      <w:tr w:rsidR="0050111C" w:rsidRPr="0050111C" w14:paraId="08ACEECE" w14:textId="77777777" w:rsidTr="0050111C">
        <w:trPr>
          <w:tblCellSpacing w:w="15" w:type="dxa"/>
        </w:trPr>
        <w:tc>
          <w:tcPr>
            <w:tcW w:w="0" w:type="auto"/>
            <w:vAlign w:val="center"/>
            <w:hideMark/>
          </w:tcPr>
          <w:p w14:paraId="2910B83C"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ii</w:t>
            </w:r>
          </w:p>
        </w:tc>
        <w:tc>
          <w:tcPr>
            <w:tcW w:w="0" w:type="auto"/>
            <w:vAlign w:val="center"/>
            <w:hideMark/>
          </w:tcPr>
          <w:p w14:paraId="01788C59"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Generally inferior under more difficult conditions, especially higher </w:t>
            </w:r>
            <w:r w:rsidRPr="0050111C">
              <w:rPr>
                <w:rFonts w:ascii="Courier New" w:eastAsia="Times New Roman" w:hAnsi="Courier New" w:cs="Courier New"/>
                <w:sz w:val="20"/>
                <w:szCs w:val="20"/>
              </w:rPr>
              <w:t>sigma</w:t>
            </w:r>
          </w:p>
        </w:tc>
      </w:tr>
    </w:tbl>
    <w:p w14:paraId="6D51F85A"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interaction terms are important. Method ii has negative main effects relative to method </w:t>
      </w:r>
      <w:proofErr w:type="spellStart"/>
      <w:r w:rsidRPr="0050111C">
        <w:rPr>
          <w:rFonts w:ascii="Times New Roman" w:eastAsia="Times New Roman" w:hAnsi="Times New Roman" w:cs="Times New Roman"/>
          <w:sz w:val="24"/>
          <w:szCs w:val="24"/>
        </w:rPr>
        <w:t>i</w:t>
      </w:r>
      <w:proofErr w:type="spellEnd"/>
      <w:r w:rsidRPr="0050111C">
        <w:rPr>
          <w:rFonts w:ascii="Times New Roman" w:eastAsia="Times New Roman" w:hAnsi="Times New Roman" w:cs="Times New Roman"/>
          <w:sz w:val="24"/>
          <w:szCs w:val="24"/>
        </w:rPr>
        <w:t xml:space="preserve"> at the baseline condition, but it has large positive interactions with </w:t>
      </w:r>
      <w:r w:rsidRPr="0050111C">
        <w:rPr>
          <w:rFonts w:ascii="Courier New" w:eastAsia="Times New Roman" w:hAnsi="Courier New" w:cs="Courier New"/>
          <w:sz w:val="20"/>
          <w:szCs w:val="20"/>
        </w:rPr>
        <w:t>sigma</w:t>
      </w:r>
      <w:r w:rsidRPr="0050111C">
        <w:rPr>
          <w:rFonts w:ascii="Times New Roman" w:eastAsia="Times New Roman" w:hAnsi="Times New Roman" w:cs="Times New Roman"/>
          <w:sz w:val="24"/>
          <w:szCs w:val="24"/>
        </w:rPr>
        <w:t xml:space="preserve">, </w:t>
      </w:r>
      <w:r w:rsidRPr="0050111C">
        <w:rPr>
          <w:rFonts w:ascii="Courier New" w:eastAsia="Times New Roman" w:hAnsi="Courier New" w:cs="Courier New"/>
          <w:sz w:val="20"/>
          <w:szCs w:val="20"/>
        </w:rPr>
        <w:t>G</w:t>
      </w:r>
      <w:r w:rsidRPr="0050111C">
        <w:rPr>
          <w:rFonts w:ascii="Times New Roman" w:eastAsia="Times New Roman" w:hAnsi="Times New Roman" w:cs="Times New Roman"/>
          <w:sz w:val="24"/>
          <w:szCs w:val="24"/>
        </w:rPr>
        <w:t xml:space="preserve">, and </w:t>
      </w:r>
      <w:proofErr w:type="spellStart"/>
      <w:r w:rsidRPr="0050111C">
        <w:rPr>
          <w:rFonts w:ascii="Courier New" w:eastAsia="Times New Roman" w:hAnsi="Courier New" w:cs="Courier New"/>
          <w:sz w:val="20"/>
          <w:szCs w:val="20"/>
        </w:rPr>
        <w:t>mean_nsamp</w:t>
      </w:r>
      <w:proofErr w:type="spellEnd"/>
      <w:r w:rsidRPr="0050111C">
        <w:rPr>
          <w:rFonts w:ascii="Times New Roman" w:eastAsia="Times New Roman" w:hAnsi="Times New Roman" w:cs="Times New Roman"/>
          <w:sz w:val="24"/>
          <w:szCs w:val="24"/>
        </w:rPr>
        <w:t>. This means its apparent advantage is not stable. As the setting becomes more difficult or more informative, method ii tends to lose ground relative to iii, iv, and v.</w:t>
      </w:r>
    </w:p>
    <w:p w14:paraId="7CB17DC7"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Methods iii and iv appear most robust. Method v is also strong, but its larger positive interactions with </w:t>
      </w:r>
      <w:r w:rsidRPr="0050111C">
        <w:rPr>
          <w:rFonts w:ascii="Courier New" w:eastAsia="Times New Roman" w:hAnsi="Courier New" w:cs="Courier New"/>
          <w:sz w:val="20"/>
          <w:szCs w:val="20"/>
        </w:rPr>
        <w:t>p1</w:t>
      </w:r>
      <w:r w:rsidRPr="0050111C">
        <w:rPr>
          <w:rFonts w:ascii="Times New Roman" w:eastAsia="Times New Roman" w:hAnsi="Times New Roman" w:cs="Times New Roman"/>
          <w:sz w:val="24"/>
          <w:szCs w:val="24"/>
        </w:rPr>
        <w:t xml:space="preserve"> and </w:t>
      </w:r>
      <w:r w:rsidRPr="0050111C">
        <w:rPr>
          <w:rFonts w:ascii="Courier New" w:eastAsia="Times New Roman" w:hAnsi="Courier New" w:cs="Courier New"/>
          <w:sz w:val="20"/>
          <w:szCs w:val="20"/>
        </w:rPr>
        <w:t>p2</w:t>
      </w:r>
      <w:r w:rsidRPr="0050111C">
        <w:rPr>
          <w:rFonts w:ascii="Times New Roman" w:eastAsia="Times New Roman" w:hAnsi="Times New Roman" w:cs="Times New Roman"/>
          <w:sz w:val="24"/>
          <w:szCs w:val="24"/>
        </w:rPr>
        <w:t xml:space="preserve"> suggest that its advantage may depend more on the location of the true composition on the simplex.</w:t>
      </w:r>
    </w:p>
    <w:p w14:paraId="4033453C" w14:textId="77777777" w:rsidR="0050111C" w:rsidRPr="0050111C" w:rsidRDefault="0050111C" w:rsidP="0050111C">
      <w:pPr>
        <w:spacing w:before="100" w:beforeAutospacing="1" w:after="100" w:afterAutospacing="1" w:line="240" w:lineRule="auto"/>
        <w:outlineLvl w:val="1"/>
        <w:rPr>
          <w:rFonts w:ascii="Times New Roman" w:eastAsia="Times New Roman" w:hAnsi="Times New Roman" w:cs="Times New Roman"/>
          <w:b/>
          <w:bCs/>
          <w:sz w:val="36"/>
          <w:szCs w:val="36"/>
        </w:rPr>
      </w:pPr>
      <w:r w:rsidRPr="0050111C">
        <w:rPr>
          <w:rFonts w:ascii="Times New Roman" w:eastAsia="Times New Roman" w:hAnsi="Times New Roman" w:cs="Times New Roman"/>
          <w:b/>
          <w:bCs/>
          <w:sz w:val="36"/>
          <w:szCs w:val="36"/>
        </w:rPr>
        <w:t>4. Hierarchical context: random effects</w:t>
      </w:r>
    </w:p>
    <w:p w14:paraId="09F3F813"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random effect for </w:t>
      </w:r>
      <w:proofErr w:type="spellStart"/>
      <w:r w:rsidRPr="0050111C">
        <w:rPr>
          <w:rFonts w:ascii="Courier New" w:eastAsia="Times New Roman" w:hAnsi="Courier New" w:cs="Courier New"/>
          <w:sz w:val="20"/>
          <w:szCs w:val="20"/>
        </w:rPr>
        <w:t>simplex_id</w:t>
      </w:r>
      <w:proofErr w:type="spellEnd"/>
      <w:r w:rsidRPr="0050111C">
        <w:rPr>
          <w:rFonts w:ascii="Times New Roman" w:eastAsia="Times New Roman" w:hAnsi="Times New Roman" w:cs="Times New Roman"/>
          <w:sz w:val="24"/>
          <w:szCs w:val="24"/>
        </w:rPr>
        <w:t xml:space="preserve"> is meaningful but not dominant. The implied intraclass correlations are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827"/>
        <w:gridCol w:w="1894"/>
        <w:gridCol w:w="1422"/>
      </w:tblGrid>
      <w:tr w:rsidR="0050111C" w:rsidRPr="0050111C" w14:paraId="655C4886" w14:textId="77777777" w:rsidTr="0050111C">
        <w:trPr>
          <w:tblHeader/>
          <w:tblCellSpacing w:w="15" w:type="dxa"/>
        </w:trPr>
        <w:tc>
          <w:tcPr>
            <w:tcW w:w="0" w:type="auto"/>
            <w:vAlign w:val="center"/>
            <w:hideMark/>
          </w:tcPr>
          <w:p w14:paraId="6F80AC3E" w14:textId="77777777" w:rsidR="0050111C" w:rsidRPr="0050111C" w:rsidRDefault="0050111C" w:rsidP="0050111C">
            <w:pPr>
              <w:spacing w:after="0" w:line="240" w:lineRule="auto"/>
              <w:jc w:val="center"/>
              <w:rPr>
                <w:rFonts w:ascii="Times New Roman" w:eastAsia="Times New Roman" w:hAnsi="Times New Roman" w:cs="Times New Roman"/>
                <w:b/>
                <w:bCs/>
                <w:sz w:val="24"/>
                <w:szCs w:val="24"/>
              </w:rPr>
            </w:pPr>
            <w:r w:rsidRPr="0050111C">
              <w:rPr>
                <w:rFonts w:ascii="Times New Roman" w:eastAsia="Times New Roman" w:hAnsi="Times New Roman" w:cs="Times New Roman"/>
                <w:b/>
                <w:bCs/>
                <w:sz w:val="24"/>
                <w:szCs w:val="24"/>
              </w:rPr>
              <w:lastRenderedPageBreak/>
              <w:t>Metric</w:t>
            </w:r>
          </w:p>
        </w:tc>
        <w:tc>
          <w:tcPr>
            <w:tcW w:w="0" w:type="auto"/>
            <w:vAlign w:val="center"/>
            <w:hideMark/>
          </w:tcPr>
          <w:p w14:paraId="365CC155" w14:textId="77777777" w:rsidR="0050111C" w:rsidRPr="0050111C" w:rsidRDefault="0050111C" w:rsidP="0050111C">
            <w:pPr>
              <w:spacing w:after="0" w:line="240" w:lineRule="auto"/>
              <w:jc w:val="right"/>
              <w:rPr>
                <w:rFonts w:ascii="Times New Roman" w:eastAsia="Times New Roman" w:hAnsi="Times New Roman" w:cs="Times New Roman"/>
                <w:b/>
                <w:bCs/>
                <w:sz w:val="24"/>
                <w:szCs w:val="24"/>
              </w:rPr>
            </w:pPr>
            <w:r w:rsidRPr="0050111C">
              <w:rPr>
                <w:rFonts w:ascii="Times New Roman" w:eastAsia="Times New Roman" w:hAnsi="Times New Roman" w:cs="Times New Roman"/>
                <w:b/>
                <w:bCs/>
                <w:sz w:val="24"/>
                <w:szCs w:val="24"/>
              </w:rPr>
              <w:t>Simplex variance</w:t>
            </w:r>
          </w:p>
        </w:tc>
        <w:tc>
          <w:tcPr>
            <w:tcW w:w="0" w:type="auto"/>
            <w:vAlign w:val="center"/>
            <w:hideMark/>
          </w:tcPr>
          <w:p w14:paraId="1F71A8A1" w14:textId="77777777" w:rsidR="0050111C" w:rsidRPr="0050111C" w:rsidRDefault="0050111C" w:rsidP="0050111C">
            <w:pPr>
              <w:spacing w:after="0" w:line="240" w:lineRule="auto"/>
              <w:jc w:val="right"/>
              <w:rPr>
                <w:rFonts w:ascii="Times New Roman" w:eastAsia="Times New Roman" w:hAnsi="Times New Roman" w:cs="Times New Roman"/>
                <w:b/>
                <w:bCs/>
                <w:sz w:val="24"/>
                <w:szCs w:val="24"/>
              </w:rPr>
            </w:pPr>
            <w:r w:rsidRPr="0050111C">
              <w:rPr>
                <w:rFonts w:ascii="Times New Roman" w:eastAsia="Times New Roman" w:hAnsi="Times New Roman" w:cs="Times New Roman"/>
                <w:b/>
                <w:bCs/>
                <w:sz w:val="24"/>
                <w:szCs w:val="24"/>
              </w:rPr>
              <w:t>Residual variance</w:t>
            </w:r>
          </w:p>
        </w:tc>
        <w:tc>
          <w:tcPr>
            <w:tcW w:w="0" w:type="auto"/>
            <w:vAlign w:val="center"/>
            <w:hideMark/>
          </w:tcPr>
          <w:p w14:paraId="665EFEA7" w14:textId="77777777" w:rsidR="0050111C" w:rsidRPr="0050111C" w:rsidRDefault="0050111C" w:rsidP="0050111C">
            <w:pPr>
              <w:spacing w:after="0" w:line="240" w:lineRule="auto"/>
              <w:jc w:val="right"/>
              <w:rPr>
                <w:rFonts w:ascii="Times New Roman" w:eastAsia="Times New Roman" w:hAnsi="Times New Roman" w:cs="Times New Roman"/>
                <w:b/>
                <w:bCs/>
                <w:sz w:val="24"/>
                <w:szCs w:val="24"/>
              </w:rPr>
            </w:pPr>
            <w:r w:rsidRPr="0050111C">
              <w:rPr>
                <w:rFonts w:ascii="Times New Roman" w:eastAsia="Times New Roman" w:hAnsi="Times New Roman" w:cs="Times New Roman"/>
                <w:b/>
                <w:bCs/>
                <w:sz w:val="24"/>
                <w:szCs w:val="24"/>
              </w:rPr>
              <w:t>Approx. ICC</w:t>
            </w:r>
          </w:p>
        </w:tc>
      </w:tr>
      <w:tr w:rsidR="0050111C" w:rsidRPr="0050111C" w14:paraId="73A9BAF4" w14:textId="77777777" w:rsidTr="0050111C">
        <w:trPr>
          <w:tblCellSpacing w:w="15" w:type="dxa"/>
        </w:trPr>
        <w:tc>
          <w:tcPr>
            <w:tcW w:w="0" w:type="auto"/>
            <w:vAlign w:val="center"/>
            <w:hideMark/>
          </w:tcPr>
          <w:p w14:paraId="20572030"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RMSE</w:t>
            </w:r>
          </w:p>
        </w:tc>
        <w:tc>
          <w:tcPr>
            <w:tcW w:w="0" w:type="auto"/>
            <w:vAlign w:val="center"/>
            <w:hideMark/>
          </w:tcPr>
          <w:p w14:paraId="497A8D4E"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0.000520</w:t>
            </w:r>
          </w:p>
        </w:tc>
        <w:tc>
          <w:tcPr>
            <w:tcW w:w="0" w:type="auto"/>
            <w:vAlign w:val="center"/>
            <w:hideMark/>
          </w:tcPr>
          <w:p w14:paraId="7D8BC831"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0.004614</w:t>
            </w:r>
          </w:p>
        </w:tc>
        <w:tc>
          <w:tcPr>
            <w:tcW w:w="0" w:type="auto"/>
            <w:vAlign w:val="center"/>
            <w:hideMark/>
          </w:tcPr>
          <w:p w14:paraId="768BFE5A"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0.101</w:t>
            </w:r>
          </w:p>
        </w:tc>
      </w:tr>
      <w:tr w:rsidR="0050111C" w:rsidRPr="0050111C" w14:paraId="0A8FBF6D" w14:textId="77777777" w:rsidTr="0050111C">
        <w:trPr>
          <w:tblCellSpacing w:w="15" w:type="dxa"/>
        </w:trPr>
        <w:tc>
          <w:tcPr>
            <w:tcW w:w="0" w:type="auto"/>
            <w:vAlign w:val="center"/>
            <w:hideMark/>
          </w:tcPr>
          <w:p w14:paraId="51761102" w14:textId="77777777" w:rsidR="0050111C" w:rsidRPr="0050111C" w:rsidRDefault="0050111C" w:rsidP="0050111C">
            <w:pPr>
              <w:spacing w:after="0"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L1</w:t>
            </w:r>
          </w:p>
        </w:tc>
        <w:tc>
          <w:tcPr>
            <w:tcW w:w="0" w:type="auto"/>
            <w:vAlign w:val="center"/>
            <w:hideMark/>
          </w:tcPr>
          <w:p w14:paraId="397768FF"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0.002459</w:t>
            </w:r>
          </w:p>
        </w:tc>
        <w:tc>
          <w:tcPr>
            <w:tcW w:w="0" w:type="auto"/>
            <w:vAlign w:val="center"/>
            <w:hideMark/>
          </w:tcPr>
          <w:p w14:paraId="3503CE5D"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0.020368</w:t>
            </w:r>
          </w:p>
        </w:tc>
        <w:tc>
          <w:tcPr>
            <w:tcW w:w="0" w:type="auto"/>
            <w:vAlign w:val="center"/>
            <w:hideMark/>
          </w:tcPr>
          <w:p w14:paraId="6E108373"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0.108</w:t>
            </w:r>
          </w:p>
        </w:tc>
      </w:tr>
      <w:tr w:rsidR="0050111C" w:rsidRPr="0050111C" w14:paraId="220C1389" w14:textId="77777777" w:rsidTr="0050111C">
        <w:trPr>
          <w:tblCellSpacing w:w="15" w:type="dxa"/>
        </w:trPr>
        <w:tc>
          <w:tcPr>
            <w:tcW w:w="0" w:type="auto"/>
            <w:vAlign w:val="center"/>
            <w:hideMark/>
          </w:tcPr>
          <w:p w14:paraId="47AF7AC2" w14:textId="77777777" w:rsidR="0050111C" w:rsidRPr="0050111C" w:rsidRDefault="0050111C" w:rsidP="0050111C">
            <w:pPr>
              <w:spacing w:after="0" w:line="240" w:lineRule="auto"/>
              <w:rPr>
                <w:rFonts w:ascii="Times New Roman" w:eastAsia="Times New Roman" w:hAnsi="Times New Roman" w:cs="Times New Roman"/>
                <w:sz w:val="24"/>
                <w:szCs w:val="24"/>
              </w:rPr>
            </w:pPr>
            <w:proofErr w:type="spellStart"/>
            <w:r w:rsidRPr="0050111C">
              <w:rPr>
                <w:rFonts w:ascii="Times New Roman" w:eastAsia="Times New Roman" w:hAnsi="Times New Roman" w:cs="Times New Roman"/>
                <w:sz w:val="24"/>
                <w:szCs w:val="24"/>
              </w:rPr>
              <w:t>Linf</w:t>
            </w:r>
            <w:proofErr w:type="spellEnd"/>
          </w:p>
        </w:tc>
        <w:tc>
          <w:tcPr>
            <w:tcW w:w="0" w:type="auto"/>
            <w:vAlign w:val="center"/>
            <w:hideMark/>
          </w:tcPr>
          <w:p w14:paraId="32054D3A"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0.000828</w:t>
            </w:r>
          </w:p>
        </w:tc>
        <w:tc>
          <w:tcPr>
            <w:tcW w:w="0" w:type="auto"/>
            <w:vAlign w:val="center"/>
            <w:hideMark/>
          </w:tcPr>
          <w:p w14:paraId="1070815D"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0.007230</w:t>
            </w:r>
          </w:p>
        </w:tc>
        <w:tc>
          <w:tcPr>
            <w:tcW w:w="0" w:type="auto"/>
            <w:vAlign w:val="center"/>
            <w:hideMark/>
          </w:tcPr>
          <w:p w14:paraId="471F97B7" w14:textId="77777777" w:rsidR="0050111C" w:rsidRPr="0050111C" w:rsidRDefault="0050111C" w:rsidP="0050111C">
            <w:pPr>
              <w:spacing w:after="0" w:line="240" w:lineRule="auto"/>
              <w:jc w:val="right"/>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0.103</w:t>
            </w:r>
          </w:p>
        </w:tc>
      </w:tr>
    </w:tbl>
    <w:p w14:paraId="44563042"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So about </w:t>
      </w:r>
      <w:r w:rsidRPr="0050111C">
        <w:rPr>
          <w:rFonts w:ascii="Times New Roman" w:eastAsia="Times New Roman" w:hAnsi="Times New Roman" w:cs="Times New Roman"/>
          <w:b/>
          <w:bCs/>
          <w:sz w:val="24"/>
          <w:szCs w:val="24"/>
        </w:rPr>
        <w:t>10–11% of residual variability</w:t>
      </w:r>
      <w:r w:rsidRPr="0050111C">
        <w:rPr>
          <w:rFonts w:ascii="Times New Roman" w:eastAsia="Times New Roman" w:hAnsi="Times New Roman" w:cs="Times New Roman"/>
          <w:sz w:val="24"/>
          <w:szCs w:val="24"/>
        </w:rPr>
        <w:t xml:space="preserve"> is attributable to persistent differences among simplex environments. That is large enough to justify the mixed-effects model, but not so large that method rankings are overwhelmed by simplex-to-simplex heterogeneity. The method signal remains strong after accounting for this hierarchical structure.</w:t>
      </w:r>
    </w:p>
    <w:p w14:paraId="39862460" w14:textId="77777777" w:rsidR="0050111C" w:rsidRPr="0050111C" w:rsidRDefault="0050111C" w:rsidP="0050111C">
      <w:pPr>
        <w:spacing w:before="100" w:beforeAutospacing="1" w:after="100" w:afterAutospacing="1" w:line="240" w:lineRule="auto"/>
        <w:outlineLvl w:val="1"/>
        <w:rPr>
          <w:rFonts w:ascii="Times New Roman" w:eastAsia="Times New Roman" w:hAnsi="Times New Roman" w:cs="Times New Roman"/>
          <w:b/>
          <w:bCs/>
          <w:sz w:val="36"/>
          <w:szCs w:val="36"/>
        </w:rPr>
      </w:pPr>
      <w:r w:rsidRPr="0050111C">
        <w:rPr>
          <w:rFonts w:ascii="Times New Roman" w:eastAsia="Times New Roman" w:hAnsi="Times New Roman" w:cs="Times New Roman"/>
          <w:b/>
          <w:bCs/>
          <w:sz w:val="36"/>
          <w:szCs w:val="36"/>
        </w:rPr>
        <w:t>5. Proportion-specific diagnostics</w:t>
      </w:r>
    </w:p>
    <w:p w14:paraId="6A2E4CE4"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strong effects of </w:t>
      </w:r>
      <w:r w:rsidRPr="0050111C">
        <w:rPr>
          <w:rFonts w:ascii="Courier New" w:eastAsia="Times New Roman" w:hAnsi="Courier New" w:cs="Courier New"/>
          <w:sz w:val="20"/>
          <w:szCs w:val="20"/>
        </w:rPr>
        <w:t>p1</w:t>
      </w:r>
      <w:r w:rsidRPr="0050111C">
        <w:rPr>
          <w:rFonts w:ascii="Times New Roman" w:eastAsia="Times New Roman" w:hAnsi="Times New Roman" w:cs="Times New Roman"/>
          <w:sz w:val="24"/>
          <w:szCs w:val="24"/>
        </w:rPr>
        <w:t xml:space="preserve"> and </w:t>
      </w:r>
      <w:r w:rsidRPr="0050111C">
        <w:rPr>
          <w:rFonts w:ascii="Courier New" w:eastAsia="Times New Roman" w:hAnsi="Courier New" w:cs="Courier New"/>
          <w:sz w:val="20"/>
          <w:szCs w:val="20"/>
        </w:rPr>
        <w:t>p2</w:t>
      </w:r>
      <w:r w:rsidRPr="0050111C">
        <w:rPr>
          <w:rFonts w:ascii="Times New Roman" w:eastAsia="Times New Roman" w:hAnsi="Times New Roman" w:cs="Times New Roman"/>
          <w:sz w:val="24"/>
          <w:szCs w:val="24"/>
        </w:rPr>
        <w:t xml:space="preserve"> are expected because the response is based on compositional proportions. Proportions are bounded by 0 and 1, and the third component is implicitly constrained by (p_3 = 1 - p_1 - p_2). This geometry creates nonconstant error variance across the simplex.</w:t>
      </w:r>
    </w:p>
    <w:p w14:paraId="0D48B4C0"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The log1p transformation is useful because it stabilizes skewed positive error metrics, but it does not fully remove heteroscedasticity caused by simplex boundaries. Errors near edges or corners may behave differently than errors near the center. For diagnostic sensitivity, I would consider comparing the present results with analyses based on logit, additive log-ratio, centered log-ratio, or arcsine-square-</w:t>
      </w:r>
      <w:proofErr w:type="spellStart"/>
      <w:r w:rsidRPr="0050111C">
        <w:rPr>
          <w:rFonts w:ascii="Times New Roman" w:eastAsia="Times New Roman" w:hAnsi="Times New Roman" w:cs="Times New Roman"/>
          <w:sz w:val="24"/>
          <w:szCs w:val="24"/>
        </w:rPr>
        <w:t>root</w:t>
      </w:r>
      <w:proofErr w:type="spellEnd"/>
      <w:r w:rsidRPr="0050111C">
        <w:rPr>
          <w:rFonts w:ascii="Times New Roman" w:eastAsia="Times New Roman" w:hAnsi="Times New Roman" w:cs="Times New Roman"/>
          <w:sz w:val="24"/>
          <w:szCs w:val="24"/>
        </w:rPr>
        <w:t xml:space="preserve"> transformations. For compositional likelihood work, log-ratio approaches are usually more natural than treating each proportion independently.</w:t>
      </w:r>
    </w:p>
    <w:p w14:paraId="394AEF22" w14:textId="77777777" w:rsidR="0050111C" w:rsidRPr="0050111C" w:rsidRDefault="0050111C" w:rsidP="0050111C">
      <w:pPr>
        <w:spacing w:before="100" w:beforeAutospacing="1" w:after="100" w:afterAutospacing="1" w:line="240" w:lineRule="auto"/>
        <w:outlineLvl w:val="1"/>
        <w:rPr>
          <w:rFonts w:ascii="Times New Roman" w:eastAsia="Times New Roman" w:hAnsi="Times New Roman" w:cs="Times New Roman"/>
          <w:b/>
          <w:bCs/>
          <w:sz w:val="36"/>
          <w:szCs w:val="36"/>
        </w:rPr>
      </w:pPr>
      <w:r w:rsidRPr="0050111C">
        <w:rPr>
          <w:rFonts w:ascii="Times New Roman" w:eastAsia="Times New Roman" w:hAnsi="Times New Roman" w:cs="Times New Roman"/>
          <w:b/>
          <w:bCs/>
          <w:sz w:val="36"/>
          <w:szCs w:val="36"/>
        </w:rPr>
        <w:t>6. Overall interpretation</w:t>
      </w:r>
    </w:p>
    <w:p w14:paraId="0AC4CCD6"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LMM results confirm that estimation accuracy differs strongly among the five methods. The dominant experimental factor is </w:t>
      </w:r>
      <w:r w:rsidRPr="0050111C">
        <w:rPr>
          <w:rFonts w:ascii="Courier New" w:eastAsia="Times New Roman" w:hAnsi="Courier New" w:cs="Courier New"/>
          <w:sz w:val="20"/>
          <w:szCs w:val="20"/>
        </w:rPr>
        <w:t>sigma</w:t>
      </w:r>
      <w:r w:rsidRPr="0050111C">
        <w:rPr>
          <w:rFonts w:ascii="Times New Roman" w:eastAsia="Times New Roman" w:hAnsi="Times New Roman" w:cs="Times New Roman"/>
          <w:sz w:val="24"/>
          <w:szCs w:val="24"/>
        </w:rPr>
        <w:t xml:space="preserve">, followed by </w:t>
      </w:r>
      <w:r w:rsidRPr="0050111C">
        <w:rPr>
          <w:rFonts w:ascii="Courier New" w:eastAsia="Times New Roman" w:hAnsi="Courier New" w:cs="Courier New"/>
          <w:sz w:val="20"/>
          <w:szCs w:val="20"/>
        </w:rPr>
        <w:t>p1</w:t>
      </w:r>
      <w:r w:rsidRPr="0050111C">
        <w:rPr>
          <w:rFonts w:ascii="Times New Roman" w:eastAsia="Times New Roman" w:hAnsi="Times New Roman" w:cs="Times New Roman"/>
          <w:sz w:val="24"/>
          <w:szCs w:val="24"/>
        </w:rPr>
        <w:t xml:space="preserve">, </w:t>
      </w:r>
      <w:r w:rsidRPr="0050111C">
        <w:rPr>
          <w:rFonts w:ascii="Courier New" w:eastAsia="Times New Roman" w:hAnsi="Courier New" w:cs="Courier New"/>
          <w:sz w:val="20"/>
          <w:szCs w:val="20"/>
        </w:rPr>
        <w:t>G</w:t>
      </w:r>
      <w:r w:rsidRPr="0050111C">
        <w:rPr>
          <w:rFonts w:ascii="Times New Roman" w:eastAsia="Times New Roman" w:hAnsi="Times New Roman" w:cs="Times New Roman"/>
          <w:sz w:val="24"/>
          <w:szCs w:val="24"/>
        </w:rPr>
        <w:t xml:space="preserve">, and method. Thus, the simulation results should not be interpreted as “method alone determines accuracy.” Rather, </w:t>
      </w:r>
      <w:r w:rsidRPr="0050111C">
        <w:rPr>
          <w:rFonts w:ascii="Times New Roman" w:eastAsia="Times New Roman" w:hAnsi="Times New Roman" w:cs="Times New Roman"/>
          <w:b/>
          <w:bCs/>
          <w:sz w:val="24"/>
          <w:szCs w:val="24"/>
        </w:rPr>
        <w:t>method performance is conditional on dispersion, sampled-group structure, and true simplex position</w:t>
      </w:r>
      <w:r w:rsidRPr="0050111C">
        <w:rPr>
          <w:rFonts w:ascii="Times New Roman" w:eastAsia="Times New Roman" w:hAnsi="Times New Roman" w:cs="Times New Roman"/>
          <w:sz w:val="24"/>
          <w:szCs w:val="24"/>
        </w:rPr>
        <w:t>.</w:t>
      </w:r>
    </w:p>
    <w:p w14:paraId="3AF2ED48"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 xml:space="preserve">The strongest practical conclusion is that methods </w:t>
      </w:r>
      <w:r w:rsidRPr="0050111C">
        <w:rPr>
          <w:rFonts w:ascii="Times New Roman" w:eastAsia="Times New Roman" w:hAnsi="Times New Roman" w:cs="Times New Roman"/>
          <w:b/>
          <w:bCs/>
          <w:sz w:val="24"/>
          <w:szCs w:val="24"/>
        </w:rPr>
        <w:t>iii, iv, and v</w:t>
      </w:r>
      <w:r w:rsidRPr="0050111C">
        <w:rPr>
          <w:rFonts w:ascii="Times New Roman" w:eastAsia="Times New Roman" w:hAnsi="Times New Roman" w:cs="Times New Roman"/>
          <w:sz w:val="24"/>
          <w:szCs w:val="24"/>
        </w:rPr>
        <w:t xml:space="preserve"> form the superior group. Methods </w:t>
      </w:r>
      <w:r w:rsidRPr="0050111C">
        <w:rPr>
          <w:rFonts w:ascii="Times New Roman" w:eastAsia="Times New Roman" w:hAnsi="Times New Roman" w:cs="Times New Roman"/>
          <w:b/>
          <w:bCs/>
          <w:sz w:val="24"/>
          <w:szCs w:val="24"/>
        </w:rPr>
        <w:t>iii and iv</w:t>
      </w:r>
      <w:r w:rsidRPr="0050111C">
        <w:rPr>
          <w:rFonts w:ascii="Times New Roman" w:eastAsia="Times New Roman" w:hAnsi="Times New Roman" w:cs="Times New Roman"/>
          <w:sz w:val="24"/>
          <w:szCs w:val="24"/>
        </w:rPr>
        <w:t xml:space="preserve"> are the most robust because they remain strong across metrics and factor interactions. Method </w:t>
      </w:r>
      <w:r w:rsidRPr="0050111C">
        <w:rPr>
          <w:rFonts w:ascii="Times New Roman" w:eastAsia="Times New Roman" w:hAnsi="Times New Roman" w:cs="Times New Roman"/>
          <w:b/>
          <w:bCs/>
          <w:sz w:val="24"/>
          <w:szCs w:val="24"/>
        </w:rPr>
        <w:t>v</w:t>
      </w:r>
      <w:r w:rsidRPr="0050111C">
        <w:rPr>
          <w:rFonts w:ascii="Times New Roman" w:eastAsia="Times New Roman" w:hAnsi="Times New Roman" w:cs="Times New Roman"/>
          <w:sz w:val="24"/>
          <w:szCs w:val="24"/>
        </w:rPr>
        <w:t xml:space="preserve"> is competitive and sometimes strongest at baseline conditions, but its larger composition interactions suggest more specialization. Methods </w:t>
      </w:r>
      <w:proofErr w:type="spellStart"/>
      <w:r w:rsidRPr="0050111C">
        <w:rPr>
          <w:rFonts w:ascii="Times New Roman" w:eastAsia="Times New Roman" w:hAnsi="Times New Roman" w:cs="Times New Roman"/>
          <w:b/>
          <w:bCs/>
          <w:sz w:val="24"/>
          <w:szCs w:val="24"/>
        </w:rPr>
        <w:t>i</w:t>
      </w:r>
      <w:proofErr w:type="spellEnd"/>
      <w:r w:rsidRPr="0050111C">
        <w:rPr>
          <w:rFonts w:ascii="Times New Roman" w:eastAsia="Times New Roman" w:hAnsi="Times New Roman" w:cs="Times New Roman"/>
          <w:b/>
          <w:bCs/>
          <w:sz w:val="24"/>
          <w:szCs w:val="24"/>
        </w:rPr>
        <w:t xml:space="preserve"> and ii</w:t>
      </w:r>
      <w:r w:rsidRPr="0050111C">
        <w:rPr>
          <w:rFonts w:ascii="Times New Roman" w:eastAsia="Times New Roman" w:hAnsi="Times New Roman" w:cs="Times New Roman"/>
          <w:sz w:val="24"/>
          <w:szCs w:val="24"/>
        </w:rPr>
        <w:t xml:space="preserve"> are less reliable, with method ii especially sensitive to adverse experimental conditions.</w:t>
      </w:r>
    </w:p>
    <w:p w14:paraId="1485BE32"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A concise final ranking from Code B is:</w:t>
      </w:r>
    </w:p>
    <w:p w14:paraId="69DE523D"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w:t>
      </w:r>
      <w:r w:rsidRPr="0050111C">
        <w:rPr>
          <w:rFonts w:ascii="Times New Roman" w:eastAsia="Times New Roman" w:hAnsi="Times New Roman" w:cs="Times New Roman"/>
          <w:sz w:val="24"/>
          <w:szCs w:val="24"/>
        </w:rPr>
        <w:br/>
        <w:t>\</w:t>
      </w:r>
      <w:proofErr w:type="spellStart"/>
      <w:r w:rsidRPr="0050111C">
        <w:rPr>
          <w:rFonts w:ascii="Times New Roman" w:eastAsia="Times New Roman" w:hAnsi="Times New Roman" w:cs="Times New Roman"/>
          <w:sz w:val="24"/>
          <w:szCs w:val="24"/>
        </w:rPr>
        <w:t>textbf</w:t>
      </w:r>
      <w:proofErr w:type="spellEnd"/>
      <w:r w:rsidRPr="0050111C">
        <w:rPr>
          <w:rFonts w:ascii="Times New Roman" w:eastAsia="Times New Roman" w:hAnsi="Times New Roman" w:cs="Times New Roman"/>
          <w:sz w:val="24"/>
          <w:szCs w:val="24"/>
        </w:rPr>
        <w:t>{iii} \</w:t>
      </w:r>
      <w:proofErr w:type="spellStart"/>
      <w:r w:rsidRPr="0050111C">
        <w:rPr>
          <w:rFonts w:ascii="Times New Roman" w:eastAsia="Times New Roman" w:hAnsi="Times New Roman" w:cs="Times New Roman"/>
          <w:sz w:val="24"/>
          <w:szCs w:val="24"/>
        </w:rPr>
        <w:t>approx</w:t>
      </w:r>
      <w:proofErr w:type="spellEnd"/>
      <w:r w:rsidRPr="0050111C">
        <w:rPr>
          <w:rFonts w:ascii="Times New Roman" w:eastAsia="Times New Roman" w:hAnsi="Times New Roman" w:cs="Times New Roman"/>
          <w:sz w:val="24"/>
          <w:szCs w:val="24"/>
        </w:rPr>
        <w:t xml:space="preserve"> \</w:t>
      </w:r>
      <w:proofErr w:type="spellStart"/>
      <w:r w:rsidRPr="0050111C">
        <w:rPr>
          <w:rFonts w:ascii="Times New Roman" w:eastAsia="Times New Roman" w:hAnsi="Times New Roman" w:cs="Times New Roman"/>
          <w:sz w:val="24"/>
          <w:szCs w:val="24"/>
        </w:rPr>
        <w:t>textbf</w:t>
      </w:r>
      <w:proofErr w:type="spellEnd"/>
      <w:r w:rsidRPr="0050111C">
        <w:rPr>
          <w:rFonts w:ascii="Times New Roman" w:eastAsia="Times New Roman" w:hAnsi="Times New Roman" w:cs="Times New Roman"/>
          <w:sz w:val="24"/>
          <w:szCs w:val="24"/>
        </w:rPr>
        <w:t>{iv} \</w:t>
      </w:r>
      <w:proofErr w:type="spellStart"/>
      <w:r w:rsidRPr="0050111C">
        <w:rPr>
          <w:rFonts w:ascii="Times New Roman" w:eastAsia="Times New Roman" w:hAnsi="Times New Roman" w:cs="Times New Roman"/>
          <w:sz w:val="24"/>
          <w:szCs w:val="24"/>
        </w:rPr>
        <w:t>approx</w:t>
      </w:r>
      <w:proofErr w:type="spellEnd"/>
      <w:r w:rsidRPr="0050111C">
        <w:rPr>
          <w:rFonts w:ascii="Times New Roman" w:eastAsia="Times New Roman" w:hAnsi="Times New Roman" w:cs="Times New Roman"/>
          <w:sz w:val="24"/>
          <w:szCs w:val="24"/>
        </w:rPr>
        <w:t xml:space="preserve"> \</w:t>
      </w:r>
      <w:proofErr w:type="spellStart"/>
      <w:r w:rsidRPr="0050111C">
        <w:rPr>
          <w:rFonts w:ascii="Times New Roman" w:eastAsia="Times New Roman" w:hAnsi="Times New Roman" w:cs="Times New Roman"/>
          <w:sz w:val="24"/>
          <w:szCs w:val="24"/>
        </w:rPr>
        <w:t>textbf</w:t>
      </w:r>
      <w:proofErr w:type="spellEnd"/>
      <w:r w:rsidRPr="0050111C">
        <w:rPr>
          <w:rFonts w:ascii="Times New Roman" w:eastAsia="Times New Roman" w:hAnsi="Times New Roman" w:cs="Times New Roman"/>
          <w:sz w:val="24"/>
          <w:szCs w:val="24"/>
        </w:rPr>
        <w:t>{v} ;&gt;; \</w:t>
      </w:r>
      <w:proofErr w:type="spellStart"/>
      <w:r w:rsidRPr="0050111C">
        <w:rPr>
          <w:rFonts w:ascii="Times New Roman" w:eastAsia="Times New Roman" w:hAnsi="Times New Roman" w:cs="Times New Roman"/>
          <w:sz w:val="24"/>
          <w:szCs w:val="24"/>
        </w:rPr>
        <w:t>textbf</w:t>
      </w:r>
      <w:proofErr w:type="spellEnd"/>
      <w:r w:rsidRPr="0050111C">
        <w:rPr>
          <w:rFonts w:ascii="Times New Roman" w:eastAsia="Times New Roman" w:hAnsi="Times New Roman" w:cs="Times New Roman"/>
          <w:sz w:val="24"/>
          <w:szCs w:val="24"/>
        </w:rPr>
        <w:t>{</w:t>
      </w:r>
      <w:proofErr w:type="spellStart"/>
      <w:r w:rsidRPr="0050111C">
        <w:rPr>
          <w:rFonts w:ascii="Times New Roman" w:eastAsia="Times New Roman" w:hAnsi="Times New Roman" w:cs="Times New Roman"/>
          <w:sz w:val="24"/>
          <w:szCs w:val="24"/>
        </w:rPr>
        <w:t>i</w:t>
      </w:r>
      <w:proofErr w:type="spellEnd"/>
      <w:r w:rsidRPr="0050111C">
        <w:rPr>
          <w:rFonts w:ascii="Times New Roman" w:eastAsia="Times New Roman" w:hAnsi="Times New Roman" w:cs="Times New Roman"/>
          <w:sz w:val="24"/>
          <w:szCs w:val="24"/>
        </w:rPr>
        <w:t>} ;&gt;; \</w:t>
      </w:r>
      <w:proofErr w:type="spellStart"/>
      <w:r w:rsidRPr="0050111C">
        <w:rPr>
          <w:rFonts w:ascii="Times New Roman" w:eastAsia="Times New Roman" w:hAnsi="Times New Roman" w:cs="Times New Roman"/>
          <w:sz w:val="24"/>
          <w:szCs w:val="24"/>
        </w:rPr>
        <w:t>textbf</w:t>
      </w:r>
      <w:proofErr w:type="spellEnd"/>
      <w:r w:rsidRPr="0050111C">
        <w:rPr>
          <w:rFonts w:ascii="Times New Roman" w:eastAsia="Times New Roman" w:hAnsi="Times New Roman" w:cs="Times New Roman"/>
          <w:sz w:val="24"/>
          <w:szCs w:val="24"/>
        </w:rPr>
        <w:t>{ii},</w:t>
      </w:r>
      <w:r w:rsidRPr="0050111C">
        <w:rPr>
          <w:rFonts w:ascii="Times New Roman" w:eastAsia="Times New Roman" w:hAnsi="Times New Roman" w:cs="Times New Roman"/>
          <w:sz w:val="24"/>
          <w:szCs w:val="24"/>
        </w:rPr>
        <w:br/>
        <w:t>]</w:t>
      </w:r>
    </w:p>
    <w:p w14:paraId="1105D258" w14:textId="77777777" w:rsidR="0050111C" w:rsidRPr="0050111C" w:rsidRDefault="0050111C" w:rsidP="0050111C">
      <w:pPr>
        <w:spacing w:before="100" w:beforeAutospacing="1" w:after="100" w:afterAutospacing="1" w:line="240" w:lineRule="auto"/>
        <w:rPr>
          <w:rFonts w:ascii="Times New Roman" w:eastAsia="Times New Roman" w:hAnsi="Times New Roman" w:cs="Times New Roman"/>
          <w:sz w:val="24"/>
          <w:szCs w:val="24"/>
        </w:rPr>
      </w:pPr>
      <w:r w:rsidRPr="0050111C">
        <w:rPr>
          <w:rFonts w:ascii="Times New Roman" w:eastAsia="Times New Roman" w:hAnsi="Times New Roman" w:cs="Times New Roman"/>
          <w:sz w:val="24"/>
          <w:szCs w:val="24"/>
        </w:rPr>
        <w:t>with the caveat that Code B does not provide Holm-adjusted EMMs, so the fine ordering among iii, iv, and v should be confirmed using a separate post-hoc EMM analysis.</w:t>
      </w:r>
    </w:p>
    <w:p w14:paraId="52CCCAE5" w14:textId="77777777" w:rsidR="003C743F" w:rsidRPr="00F51B33" w:rsidRDefault="003C743F" w:rsidP="00F51B33"/>
    <w:sectPr w:rsidR="003C743F" w:rsidRPr="00F51B33"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E5022"/>
    <w:multiLevelType w:val="multilevel"/>
    <w:tmpl w:val="F92A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0F"/>
    <w:rsid w:val="002E36FF"/>
    <w:rsid w:val="003C743F"/>
    <w:rsid w:val="004226D1"/>
    <w:rsid w:val="0050111C"/>
    <w:rsid w:val="00671B0F"/>
    <w:rsid w:val="00C71FBC"/>
    <w:rsid w:val="00F51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A1F"/>
  <w15:chartTrackingRefBased/>
  <w15:docId w15:val="{CABB0689-A7F4-4AE1-A432-FB831D8A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2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2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6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2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26D1"/>
    <w:rPr>
      <w:b/>
      <w:bCs/>
    </w:rPr>
  </w:style>
  <w:style w:type="character" w:styleId="HTMLCode">
    <w:name w:val="HTML Code"/>
    <w:basedOn w:val="DefaultParagraphFont"/>
    <w:uiPriority w:val="99"/>
    <w:semiHidden/>
    <w:unhideWhenUsed/>
    <w:rsid w:val="004226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161752">
      <w:bodyDiv w:val="1"/>
      <w:marLeft w:val="0"/>
      <w:marRight w:val="0"/>
      <w:marTop w:val="0"/>
      <w:marBottom w:val="0"/>
      <w:divBdr>
        <w:top w:val="none" w:sz="0" w:space="0" w:color="auto"/>
        <w:left w:val="none" w:sz="0" w:space="0" w:color="auto"/>
        <w:bottom w:val="none" w:sz="0" w:space="0" w:color="auto"/>
        <w:right w:val="none" w:sz="0" w:space="0" w:color="auto"/>
      </w:divBdr>
    </w:div>
    <w:div w:id="668018696">
      <w:bodyDiv w:val="1"/>
      <w:marLeft w:val="0"/>
      <w:marRight w:val="0"/>
      <w:marTop w:val="0"/>
      <w:marBottom w:val="0"/>
      <w:divBdr>
        <w:top w:val="none" w:sz="0" w:space="0" w:color="auto"/>
        <w:left w:val="none" w:sz="0" w:space="0" w:color="auto"/>
        <w:bottom w:val="none" w:sz="0" w:space="0" w:color="auto"/>
        <w:right w:val="none" w:sz="0" w:space="0" w:color="auto"/>
      </w:divBdr>
    </w:div>
    <w:div w:id="176907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1089</Words>
  <Characters>6212</Characters>
  <Application>Microsoft Office Word</Application>
  <DocSecurity>0</DocSecurity>
  <Lines>51</Lines>
  <Paragraphs>14</Paragraphs>
  <ScaleCrop>false</ScaleCrop>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5</cp:revision>
  <dcterms:created xsi:type="dcterms:W3CDTF">2026-05-29T00:38:00Z</dcterms:created>
  <dcterms:modified xsi:type="dcterms:W3CDTF">2026-06-05T00:59:00Z</dcterms:modified>
</cp:coreProperties>
</file>