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68C1" w14:textId="46F42208" w:rsidR="00621F78" w:rsidRDefault="00621F78" w:rsidP="0064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File =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Correcting metadata_prep.R error1.docx</w:t>
      </w:r>
    </w:p>
    <w:p w14:paraId="4DE3E759" w14:textId="7944E1E8" w:rsidR="0064499A" w:rsidRPr="0064499A" w:rsidRDefault="0064499A" w:rsidP="0064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99A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14:paraId="3B2F27FC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Resolve the </w:t>
      </w:r>
      <w:r w:rsidRPr="0064499A">
        <w:rPr>
          <w:rFonts w:ascii="Courier New" w:eastAsia="Times New Roman" w:hAnsi="Courier New" w:cs="Courier New"/>
          <w:sz w:val="20"/>
          <w:szCs w:val="20"/>
        </w:rPr>
        <w:t>cannot allocate vector of size 2.5 Gb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error by avoiding one large in-memory build of </w:t>
      </w:r>
      <w:r w:rsidRPr="0064499A">
        <w:rPr>
          <w:rFonts w:ascii="Courier New" w:eastAsia="Times New Roman" w:hAnsi="Courier New" w:cs="Courier New"/>
          <w:sz w:val="20"/>
          <w:szCs w:val="20"/>
        </w:rPr>
        <w:t>all_wide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followed by a full-table </w:t>
      </w:r>
      <w:r w:rsidRPr="0064499A">
        <w:rPr>
          <w:rFonts w:ascii="Courier New" w:eastAsia="Times New Roman" w:hAnsi="Courier New" w:cs="Courier New"/>
          <w:sz w:val="20"/>
          <w:szCs w:val="20"/>
        </w:rPr>
        <w:t>pivot_</w:t>
      </w: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longer(</w:t>
      </w:r>
      <w:proofErr w:type="gramEnd"/>
      <w:r w:rsidRPr="0064499A">
        <w:rPr>
          <w:rFonts w:ascii="Courier New" w:eastAsia="Times New Roman" w:hAnsi="Courier New" w:cs="Courier New"/>
          <w:sz w:val="20"/>
          <w:szCs w:val="20"/>
        </w:rPr>
        <w:t>)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. The current script creates </w:t>
      </w:r>
      <w:r w:rsidRPr="0064499A">
        <w:rPr>
          <w:rFonts w:ascii="Courier New" w:eastAsia="Times New Roman" w:hAnsi="Courier New" w:cs="Courier New"/>
          <w:sz w:val="20"/>
          <w:szCs w:val="20"/>
        </w:rPr>
        <w:t>all_wide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64499A">
        <w:rPr>
          <w:rFonts w:ascii="Courier New" w:eastAsia="Times New Roman" w:hAnsi="Courier New" w:cs="Courier New"/>
          <w:sz w:val="20"/>
          <w:szCs w:val="20"/>
        </w:rPr>
        <w:t>map_</w:t>
      </w: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dfr(</w:t>
      </w:r>
      <w:proofErr w:type="gramEnd"/>
      <w:r w:rsidRPr="0064499A">
        <w:rPr>
          <w:rFonts w:ascii="Courier New" w:eastAsia="Times New Roman" w:hAnsi="Courier New" w:cs="Courier New"/>
          <w:sz w:val="20"/>
          <w:szCs w:val="20"/>
        </w:rPr>
        <w:t>)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over all 972 experiments and then expands it to </w:t>
      </w:r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>, which causes the memory spike.</w:t>
      </w:r>
    </w:p>
    <w:p w14:paraId="1B1DC28B" w14:textId="1D3444EC" w:rsidR="0064499A" w:rsidRPr="0064499A" w:rsidRDefault="0064499A" w:rsidP="0064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99A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provided</w:t>
      </w:r>
    </w:p>
    <w:p w14:paraId="5FBD19B9" w14:textId="5E99A551" w:rsidR="0064499A" w:rsidRPr="0064499A" w:rsidRDefault="00B80DA6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 is a</w:t>
      </w:r>
      <w:r w:rsidR="0064499A" w:rsidRPr="0064499A">
        <w:rPr>
          <w:rFonts w:ascii="Times New Roman" w:eastAsia="Times New Roman" w:hAnsi="Times New Roman" w:cs="Times New Roman"/>
          <w:sz w:val="24"/>
          <w:szCs w:val="24"/>
        </w:rPr>
        <w:t xml:space="preserve"> revised metadata script </w:t>
      </w:r>
      <w:r w:rsidR="003A120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3A120A">
        <w:rPr>
          <w:rFonts w:ascii="Times New Roman" w:eastAsia="Times New Roman" w:hAnsi="Times New Roman" w:cs="Times New Roman"/>
          <w:sz w:val="24"/>
          <w:szCs w:val="24"/>
        </w:rPr>
        <w:t>metadata.R</w:t>
      </w:r>
      <w:proofErr w:type="gramEnd"/>
      <w:r w:rsidR="003A12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 w:rsidR="0064499A" w:rsidRPr="006449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90B621" w14:textId="77777777" w:rsidR="0064499A" w:rsidRPr="0064499A" w:rsidRDefault="0064499A" w:rsidP="0064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processes the 972 experiments in </w:t>
      </w:r>
      <w:r w:rsidRPr="0064499A">
        <w:rPr>
          <w:rFonts w:ascii="Courier New" w:eastAsia="Times New Roman" w:hAnsi="Courier New" w:cs="Courier New"/>
          <w:sz w:val="20"/>
          <w:szCs w:val="20"/>
        </w:rPr>
        <w:t>example_id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chunks;</w:t>
      </w:r>
    </w:p>
    <w:p w14:paraId="6EA80DB7" w14:textId="77777777" w:rsidR="0064499A" w:rsidRPr="0064499A" w:rsidRDefault="0064499A" w:rsidP="0064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writes </w:t>
      </w:r>
      <w:r w:rsidRPr="0064499A">
        <w:rPr>
          <w:rFonts w:ascii="Courier New" w:eastAsia="Times New Roman" w:hAnsi="Courier New" w:cs="Courier New"/>
          <w:sz w:val="20"/>
          <w:szCs w:val="20"/>
        </w:rPr>
        <w:t>all_wide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subarrays/subtables to disk as partitioned files;</w:t>
      </w:r>
    </w:p>
    <w:p w14:paraId="40231DE4" w14:textId="77777777" w:rsidR="0064499A" w:rsidRPr="0064499A" w:rsidRDefault="0064499A" w:rsidP="0064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keeps only the columns needed for analyses A–H by default;</w:t>
      </w:r>
    </w:p>
    <w:p w14:paraId="1E3E89C6" w14:textId="77777777" w:rsidR="0064499A" w:rsidRPr="0064499A" w:rsidRDefault="0064499A" w:rsidP="0064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provides functions to read partitions back later;</w:t>
      </w:r>
    </w:p>
    <w:p w14:paraId="60383184" w14:textId="77777777" w:rsidR="0064499A" w:rsidRPr="0064499A" w:rsidRDefault="0064499A" w:rsidP="0064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optionally writes </w:t>
      </w:r>
      <w:r w:rsidRPr="0064499A">
        <w:rPr>
          <w:rFonts w:ascii="Courier New" w:eastAsia="Times New Roman" w:hAnsi="Courier New" w:cs="Courier New"/>
          <w:sz w:val="20"/>
          <w:szCs w:val="20"/>
        </w:rPr>
        <w:t>arrow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/Parquet files for on-disk analysis if the </w:t>
      </w:r>
      <w:r w:rsidRPr="0064499A">
        <w:rPr>
          <w:rFonts w:ascii="Courier New" w:eastAsia="Times New Roman" w:hAnsi="Courier New" w:cs="Courier New"/>
          <w:sz w:val="20"/>
          <w:szCs w:val="20"/>
        </w:rPr>
        <w:t>arrow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package is installed;</w:t>
      </w:r>
    </w:p>
    <w:p w14:paraId="66D084D2" w14:textId="77777777" w:rsidR="0064499A" w:rsidRPr="0064499A" w:rsidRDefault="0064499A" w:rsidP="0064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does </w:t>
      </w:r>
      <w:r w:rsidRPr="0064499A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combine the full objects in memory unless you explicitly request it.</w:t>
      </w:r>
    </w:p>
    <w:p w14:paraId="50A9C5EA" w14:textId="77777777" w:rsidR="0064499A" w:rsidRPr="0064499A" w:rsidRDefault="0064499A" w:rsidP="0064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99A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ranked approaches</w:t>
      </w:r>
    </w:p>
    <w:p w14:paraId="1C1A716F" w14:textId="77777777" w:rsidR="0064499A" w:rsidRPr="0064499A" w:rsidRDefault="0064499A" w:rsidP="0064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99A">
        <w:rPr>
          <w:rFonts w:ascii="Times New Roman" w:eastAsia="Times New Roman" w:hAnsi="Times New Roman" w:cs="Times New Roman"/>
          <w:b/>
          <w:bCs/>
          <w:sz w:val="27"/>
          <w:szCs w:val="27"/>
        </w:rPr>
        <w:t>1. Best immediate approach: partitioned metadata build</w:t>
      </w:r>
    </w:p>
    <w:p w14:paraId="3D7E777B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Use the revised </w:t>
      </w: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metadata.R</w:t>
      </w:r>
      <w:proofErr w:type="gramEnd"/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script. It avoids the memory failure by replacing one large </w:t>
      </w:r>
      <w:r w:rsidRPr="0064499A">
        <w:rPr>
          <w:rFonts w:ascii="Courier New" w:eastAsia="Times New Roman" w:hAnsi="Courier New" w:cs="Courier New"/>
          <w:sz w:val="20"/>
          <w:szCs w:val="20"/>
        </w:rPr>
        <w:t>map_</w:t>
      </w: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dfr(</w:t>
      </w:r>
      <w:proofErr w:type="gramEnd"/>
      <w:r w:rsidRPr="0064499A">
        <w:rPr>
          <w:rFonts w:ascii="Courier New" w:eastAsia="Times New Roman" w:hAnsi="Courier New" w:cs="Courier New"/>
          <w:sz w:val="20"/>
          <w:szCs w:val="20"/>
        </w:rPr>
        <w:t>)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64499A">
        <w:rPr>
          <w:rFonts w:ascii="Courier New" w:eastAsia="Times New Roman" w:hAnsi="Courier New" w:cs="Courier New"/>
          <w:sz w:val="20"/>
          <w:szCs w:val="20"/>
        </w:rPr>
        <w:t>pivot_longer()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operation with many smaller blocks.</w:t>
      </w:r>
    </w:p>
    <w:p w14:paraId="37BA8074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Run this from your </w:t>
      </w:r>
      <w:r w:rsidRPr="0064499A">
        <w:rPr>
          <w:rFonts w:ascii="Courier New" w:eastAsia="Times New Roman" w:hAnsi="Courier New" w:cs="Courier New"/>
          <w:sz w:val="20"/>
          <w:szCs w:val="20"/>
        </w:rPr>
        <w:t>RUN1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directory:</w:t>
      </w:r>
    </w:p>
    <w:p w14:paraId="08DEA2A8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setwd(</w:t>
      </w:r>
      <w:proofErr w:type="gramEnd"/>
      <w:r w:rsidRPr="0064499A">
        <w:rPr>
          <w:rFonts w:ascii="Courier New" w:eastAsia="Times New Roman" w:hAnsi="Courier New" w:cs="Courier New"/>
          <w:sz w:val="20"/>
          <w:szCs w:val="20"/>
        </w:rPr>
        <w:t>"C:/Users/Jon.Brodziak/Desktop/Dirichlet Study/hake/RUN1")</w:t>
      </w:r>
    </w:p>
    <w:p w14:paraId="6012C991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CBA4E7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Sys.setenv(HAKE_METADATA_CHUNK_N = "12")</w:t>
      </w:r>
    </w:p>
    <w:p w14:paraId="5E821AF7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Sys.setenv(HAKE_COMBINE_IN_MEMORY = "false")</w:t>
      </w:r>
    </w:p>
    <w:p w14:paraId="405168E5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Sys.setenv(HAKE_KEEP_ONLY_ANALYSIS_COLUMNS = "true")</w:t>
      </w:r>
    </w:p>
    <w:p w14:paraId="0E31FA01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509F8D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source("</w:t>
      </w: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metadata.R</w:t>
      </w:r>
      <w:proofErr w:type="gramEnd"/>
      <w:r w:rsidRPr="0064499A">
        <w:rPr>
          <w:rFonts w:ascii="Courier New" w:eastAsia="Times New Roman" w:hAnsi="Courier New" w:cs="Courier New"/>
          <w:sz w:val="20"/>
          <w:szCs w:val="20"/>
        </w:rPr>
        <w:t>")</w:t>
      </w:r>
    </w:p>
    <w:p w14:paraId="6605BDFC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This writes partitioned outputs under:</w:t>
      </w:r>
    </w:p>
    <w:p w14:paraId="05565D9E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metadata_output/</w:t>
      </w:r>
    </w:p>
    <w:p w14:paraId="5D522D8B" w14:textId="77777777" w:rsidR="0064499A" w:rsidRPr="0064499A" w:rsidRDefault="0064499A" w:rsidP="0064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Best package-based approach: use </w:t>
      </w:r>
      <w:r w:rsidRPr="0064499A">
        <w:rPr>
          <w:rFonts w:ascii="Courier New" w:eastAsia="Times New Roman" w:hAnsi="Courier New" w:cs="Courier New"/>
          <w:b/>
          <w:bCs/>
          <w:sz w:val="20"/>
          <w:szCs w:val="20"/>
        </w:rPr>
        <w:t>arrow</w:t>
      </w:r>
      <w:r w:rsidRPr="0064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Parquet datasets</w:t>
      </w:r>
    </w:p>
    <w:p w14:paraId="34AA21B6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 w:rsidRPr="0064499A">
        <w:rPr>
          <w:rFonts w:ascii="Courier New" w:eastAsia="Times New Roman" w:hAnsi="Courier New" w:cs="Courier New"/>
          <w:sz w:val="20"/>
          <w:szCs w:val="20"/>
        </w:rPr>
        <w:t>arrow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if possible:</w:t>
      </w:r>
    </w:p>
    <w:p w14:paraId="7DDC1263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gramEnd"/>
      <w:r w:rsidRPr="0064499A">
        <w:rPr>
          <w:rFonts w:ascii="Courier New" w:eastAsia="Times New Roman" w:hAnsi="Courier New" w:cs="Courier New"/>
          <w:sz w:val="20"/>
          <w:szCs w:val="20"/>
        </w:rPr>
        <w:t>("arrow")</w:t>
      </w:r>
    </w:p>
    <w:p w14:paraId="7EBA66E8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Then rerun:</w:t>
      </w:r>
    </w:p>
    <w:p w14:paraId="500AD7BA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Sys.setenv(HAKE_WRITE_PARQUET = "true")</w:t>
      </w:r>
    </w:p>
    <w:p w14:paraId="4B02E7BE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source("</w:t>
      </w: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metadata.R</w:t>
      </w:r>
      <w:proofErr w:type="gramEnd"/>
      <w:r w:rsidRPr="0064499A">
        <w:rPr>
          <w:rFonts w:ascii="Courier New" w:eastAsia="Times New Roman" w:hAnsi="Courier New" w:cs="Courier New"/>
          <w:sz w:val="20"/>
          <w:szCs w:val="20"/>
        </w:rPr>
        <w:t>")</w:t>
      </w:r>
    </w:p>
    <w:p w14:paraId="49813073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lastRenderedPageBreak/>
        <w:t>This lets you open metadata as an on-disk dataset:</w:t>
      </w:r>
    </w:p>
    <w:p w14:paraId="7C2C901A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acc_long_ds &lt;- open_metadata_dataset("acc_long")</w:t>
      </w:r>
    </w:p>
    <w:p w14:paraId="54A13DF7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all_wide_ds &lt;- open_metadata_dataset("all_wide")</w:t>
      </w:r>
    </w:p>
    <w:p w14:paraId="48D304C5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This is best if the full </w:t>
      </w:r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table is too large to hold in memory.</w:t>
      </w:r>
    </w:p>
    <w:p w14:paraId="626AE3D0" w14:textId="77777777" w:rsidR="0064499A" w:rsidRPr="0064499A" w:rsidRDefault="0064499A" w:rsidP="0064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99A">
        <w:rPr>
          <w:rFonts w:ascii="Times New Roman" w:eastAsia="Times New Roman" w:hAnsi="Times New Roman" w:cs="Times New Roman"/>
          <w:b/>
          <w:bCs/>
          <w:sz w:val="27"/>
          <w:szCs w:val="27"/>
        </w:rPr>
        <w:t>3. Good fallback: read only the table needed for each analysis</w:t>
      </w:r>
    </w:p>
    <w:p w14:paraId="39B29222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The later analyses do not all need the same metadata object. Analyses B and G use </w:t>
      </w:r>
      <w:r w:rsidRPr="0064499A">
        <w:rPr>
          <w:rFonts w:ascii="Courier New" w:eastAsia="Times New Roman" w:hAnsi="Courier New" w:cs="Courier New"/>
          <w:sz w:val="20"/>
          <w:szCs w:val="20"/>
        </w:rPr>
        <w:t>acc_long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; analysis H uses </w:t>
      </w:r>
      <w:r w:rsidRPr="0064499A">
        <w:rPr>
          <w:rFonts w:ascii="Courier New" w:eastAsia="Times New Roman" w:hAnsi="Courier New" w:cs="Courier New"/>
          <w:sz w:val="20"/>
          <w:szCs w:val="20"/>
        </w:rPr>
        <w:t>all_wide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; analysis F also uses </w:t>
      </w:r>
      <w:r w:rsidRPr="0064499A">
        <w:rPr>
          <w:rFonts w:ascii="Courier New" w:eastAsia="Times New Roman" w:hAnsi="Courier New" w:cs="Courier New"/>
          <w:sz w:val="20"/>
          <w:szCs w:val="20"/>
        </w:rPr>
        <w:t>all_wide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9CE797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For analysis A:</w:t>
      </w:r>
    </w:p>
    <w:p w14:paraId="286D390A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acc_long &lt;- load_metadata_table("acc_long")</w:t>
      </w:r>
    </w:p>
    <w:p w14:paraId="0131FC6B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acc_mv &lt;- make_acc_mv_from_long(acc_long)</w:t>
      </w:r>
    </w:p>
    <w:p w14:paraId="75AD48CB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source("code-</w:t>
      </w: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A.R</w:t>
      </w:r>
      <w:proofErr w:type="gramEnd"/>
      <w:r w:rsidRPr="0064499A">
        <w:rPr>
          <w:rFonts w:ascii="Courier New" w:eastAsia="Times New Roman" w:hAnsi="Courier New" w:cs="Courier New"/>
          <w:sz w:val="20"/>
          <w:szCs w:val="20"/>
        </w:rPr>
        <w:t>")</w:t>
      </w:r>
    </w:p>
    <w:p w14:paraId="13CE8F3B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For analyses B, C, D, E, and G:</w:t>
      </w:r>
    </w:p>
    <w:p w14:paraId="765996A2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acc_long &lt;- load_metadata_table("acc_long")</w:t>
      </w:r>
    </w:p>
    <w:p w14:paraId="65F4BAA3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source("code-</w:t>
      </w: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B.R</w:t>
      </w:r>
      <w:proofErr w:type="gramEnd"/>
      <w:r w:rsidRPr="0064499A">
        <w:rPr>
          <w:rFonts w:ascii="Courier New" w:eastAsia="Times New Roman" w:hAnsi="Courier New" w:cs="Courier New"/>
          <w:sz w:val="20"/>
          <w:szCs w:val="20"/>
        </w:rPr>
        <w:t>")</w:t>
      </w:r>
    </w:p>
    <w:p w14:paraId="78A8EDBB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>For analyses F and H:</w:t>
      </w:r>
    </w:p>
    <w:p w14:paraId="03B51C11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all_wide &lt;- load_metadata_table("all_wide")</w:t>
      </w:r>
    </w:p>
    <w:p w14:paraId="560278D6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source("code-</w:t>
      </w: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F.R</w:t>
      </w:r>
      <w:proofErr w:type="gramEnd"/>
      <w:r w:rsidRPr="0064499A">
        <w:rPr>
          <w:rFonts w:ascii="Courier New" w:eastAsia="Times New Roman" w:hAnsi="Courier New" w:cs="Courier New"/>
          <w:sz w:val="20"/>
          <w:szCs w:val="20"/>
        </w:rPr>
        <w:t>")</w:t>
      </w:r>
    </w:p>
    <w:p w14:paraId="37E2A094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99A">
        <w:rPr>
          <w:rFonts w:ascii="Courier New" w:eastAsia="Times New Roman" w:hAnsi="Courier New" w:cs="Courier New"/>
          <w:sz w:val="20"/>
          <w:szCs w:val="20"/>
        </w:rPr>
        <w:t>source("code-</w:t>
      </w: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H.R</w:t>
      </w:r>
      <w:proofErr w:type="gramEnd"/>
      <w:r w:rsidRPr="0064499A">
        <w:rPr>
          <w:rFonts w:ascii="Courier New" w:eastAsia="Times New Roman" w:hAnsi="Courier New" w:cs="Courier New"/>
          <w:sz w:val="20"/>
          <w:szCs w:val="20"/>
        </w:rPr>
        <w:t>")</w:t>
      </w:r>
    </w:p>
    <w:p w14:paraId="0C372AC1" w14:textId="77777777" w:rsidR="0064499A" w:rsidRPr="0064499A" w:rsidRDefault="0064499A" w:rsidP="0064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Use </w:t>
      </w:r>
      <w:proofErr w:type="gramStart"/>
      <w:r w:rsidRPr="0064499A">
        <w:rPr>
          <w:rFonts w:ascii="Courier New" w:eastAsia="Times New Roman" w:hAnsi="Courier New" w:cs="Courier New"/>
          <w:b/>
          <w:bCs/>
          <w:sz w:val="20"/>
          <w:szCs w:val="20"/>
        </w:rPr>
        <w:t>data.table</w:t>
      </w:r>
      <w:proofErr w:type="gramEnd"/>
      <w:r w:rsidRPr="0064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faster recombination</w:t>
      </w:r>
    </w:p>
    <w:p w14:paraId="3B6FF18D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data.table</w:t>
      </w:r>
      <w:proofErr w:type="gramEnd"/>
      <w:r w:rsidRPr="006449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9273FB" w14:textId="77777777" w:rsidR="0064499A" w:rsidRPr="0064499A" w:rsidRDefault="0064499A" w:rsidP="0064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gramEnd"/>
      <w:r w:rsidRPr="0064499A">
        <w:rPr>
          <w:rFonts w:ascii="Courier New" w:eastAsia="Times New Roman" w:hAnsi="Courier New" w:cs="Courier New"/>
          <w:sz w:val="20"/>
          <w:szCs w:val="20"/>
        </w:rPr>
        <w:t>("data.table")</w:t>
      </w:r>
    </w:p>
    <w:p w14:paraId="1D784225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The revised script automatically uses </w:t>
      </w: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data.table::</w:t>
      </w:r>
      <w:proofErr w:type="gramEnd"/>
      <w:r w:rsidRPr="0064499A">
        <w:rPr>
          <w:rFonts w:ascii="Courier New" w:eastAsia="Times New Roman" w:hAnsi="Courier New" w:cs="Courier New"/>
          <w:sz w:val="20"/>
          <w:szCs w:val="20"/>
        </w:rPr>
        <w:t>rbindlist()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when available. This will usually combine partitioned RDS files faster and with less overhead than </w:t>
      </w:r>
      <w:proofErr w:type="gramStart"/>
      <w:r w:rsidRPr="0064499A">
        <w:rPr>
          <w:rFonts w:ascii="Courier New" w:eastAsia="Times New Roman" w:hAnsi="Courier New" w:cs="Courier New"/>
          <w:sz w:val="20"/>
          <w:szCs w:val="20"/>
        </w:rPr>
        <w:t>dplyr::</w:t>
      </w:r>
      <w:proofErr w:type="gramEnd"/>
      <w:r w:rsidRPr="0064499A">
        <w:rPr>
          <w:rFonts w:ascii="Courier New" w:eastAsia="Times New Roman" w:hAnsi="Courier New" w:cs="Courier New"/>
          <w:sz w:val="20"/>
          <w:szCs w:val="20"/>
        </w:rPr>
        <w:t>bind_rows()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8E56BE" w14:textId="77777777" w:rsidR="0064499A" w:rsidRPr="0064499A" w:rsidRDefault="0064499A" w:rsidP="0064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99A">
        <w:rPr>
          <w:rFonts w:ascii="Times New Roman" w:eastAsia="Times New Roman" w:hAnsi="Times New Roman" w:cs="Times New Roman"/>
          <w:b/>
          <w:bCs/>
          <w:sz w:val="27"/>
          <w:szCs w:val="27"/>
        </w:rPr>
        <w:t>5. Last resort: file-backed arrays</w:t>
      </w:r>
    </w:p>
    <w:p w14:paraId="54A26D92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Packages such as </w:t>
      </w:r>
      <w:r w:rsidRPr="0064499A">
        <w:rPr>
          <w:rFonts w:ascii="Courier New" w:eastAsia="Times New Roman" w:hAnsi="Courier New" w:cs="Courier New"/>
          <w:sz w:val="20"/>
          <w:szCs w:val="20"/>
        </w:rPr>
        <w:t>ff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4499A">
        <w:rPr>
          <w:rFonts w:ascii="Courier New" w:eastAsia="Times New Roman" w:hAnsi="Courier New" w:cs="Courier New"/>
          <w:sz w:val="20"/>
          <w:szCs w:val="20"/>
        </w:rPr>
        <w:t>bigmemory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64499A">
        <w:rPr>
          <w:rFonts w:ascii="Courier New" w:eastAsia="Times New Roman" w:hAnsi="Courier New" w:cs="Courier New"/>
          <w:sz w:val="20"/>
          <w:szCs w:val="20"/>
        </w:rPr>
        <w:t>HDF5Array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can handle file-backed matrices, but they are less natural here because your metadata are tables, not pure numeric arrays. I would only use these if a later multivariate step truly requires a large numeric matrix that cannot fit in RAM.</w:t>
      </w:r>
    </w:p>
    <w:p w14:paraId="76525CDE" w14:textId="77777777" w:rsidR="0064499A" w:rsidRPr="0064499A" w:rsidRDefault="0064499A" w:rsidP="0064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99A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bottom line</w:t>
      </w:r>
    </w:p>
    <w:p w14:paraId="50C1A0E4" w14:textId="77777777" w:rsidR="0064499A" w:rsidRPr="0064499A" w:rsidRDefault="0064499A" w:rsidP="0064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Use the revised script with </w:t>
      </w:r>
      <w:r w:rsidRPr="0064499A">
        <w:rPr>
          <w:rFonts w:ascii="Courier New" w:eastAsia="Times New Roman" w:hAnsi="Courier New" w:cs="Courier New"/>
          <w:sz w:val="20"/>
          <w:szCs w:val="20"/>
        </w:rPr>
        <w:t>HAKE_COMBINE_IN_MEMORY = "false"</w:t>
      </w:r>
      <w:r w:rsidRPr="0064499A">
        <w:rPr>
          <w:rFonts w:ascii="Times New Roman" w:eastAsia="Times New Roman" w:hAnsi="Times New Roman" w:cs="Times New Roman"/>
          <w:sz w:val="24"/>
          <w:szCs w:val="24"/>
        </w:rPr>
        <w:t xml:space="preserve"> first. That should let all 972 experiments complete without the 2.5 GB allocation failure. Then load only the specific metadata table needed for each analysis A–H.</w:t>
      </w:r>
    </w:p>
    <w:p w14:paraId="4836CCF8" w14:textId="77777777" w:rsidR="008431DA" w:rsidRDefault="008431DA" w:rsidP="008431DA"/>
    <w:sectPr w:rsidR="008431DA" w:rsidSect="002E36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A623F"/>
    <w:multiLevelType w:val="multilevel"/>
    <w:tmpl w:val="C92C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DA"/>
    <w:rsid w:val="002E36FF"/>
    <w:rsid w:val="003A120A"/>
    <w:rsid w:val="003C743F"/>
    <w:rsid w:val="00621F78"/>
    <w:rsid w:val="0064499A"/>
    <w:rsid w:val="008431DA"/>
    <w:rsid w:val="00B71625"/>
    <w:rsid w:val="00B80DA6"/>
    <w:rsid w:val="00DA69AB"/>
    <w:rsid w:val="00DB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33878"/>
  <w15:chartTrackingRefBased/>
  <w15:docId w15:val="{B93B9DDF-CA0E-45FA-B3AE-596BCACF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49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4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49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49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4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4499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499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4499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9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Brodziak</dc:creator>
  <cp:keywords/>
  <dc:description/>
  <cp:lastModifiedBy>Jon Brodziak</cp:lastModifiedBy>
  <cp:revision>8</cp:revision>
  <cp:lastPrinted>2026-05-08T00:45:00Z</cp:lastPrinted>
  <dcterms:created xsi:type="dcterms:W3CDTF">2026-05-07T22:10:00Z</dcterms:created>
  <dcterms:modified xsi:type="dcterms:W3CDTF">2026-05-08T00:48:00Z</dcterms:modified>
</cp:coreProperties>
</file>