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keepNext/>
        <w:jc w:val="center"/>
      </w:pPr>
      <w:r>
        <w:t>Integrated Statistical Analysis of Compositional Likelihood Estimation Accuracy</w:t>
      </w:r>
    </w:p>
    <w:p>
      <w:pPr>
        <w:pStyle w:val="NormalWeb"/>
        <w:spacing w:after="200"/>
        <w:jc w:val="center"/>
      </w:pPr>
      <w:r>
        <w:rPr>
          <w:b/>
          <w:sz w:val="24"/>
        </w:rPr>
        <w:t>Synthesis of Codes A B C1 C2 and E</w:t>
      </w:r>
    </w:p>
    <w:p>
      <w:pPr>
        <w:pStyle w:val="Heading1"/>
        <w:keepNext/>
      </w:pPr>
      <w:r>
        <w:t>Executive conclusion</w:t>
      </w:r>
    </w:p>
    <w:p>
      <w:pPr>
        <w:pStyle w:val="NormalWeb"/>
      </w:pPr>
      <w:r>
        <w:t>The five analyses support a stable overall ordering of v, iii, iv, i, and ii from lowest to highest estimation error, while also showing that the advantage of v over iii is small and condition-dependent. In the matched global comparisons from Code C1, method v had the lowest mean error for RMSE, L1, and Linf. Method iii followed closely, with errors only 0.39% to 0.61% above method v. Method iv was consistently better than method i in the global paired results, and method ii had the largest errors. The mixed-effects model and generalized additive model confirm that methods v and iii form the leading group, but each identifies conditions or metrics in which iii is best. The evidence therefore supports v as the first-ranked method by a narrow margin, iii as a statistically and practically close second, iv as third, i as fourth, and ii as fifth.</w:t>
      </w:r>
    </w:p>
    <w:p>
      <w:pPr>
        <w:pStyle w:val="NormalWeb"/>
      </w:pPr>
      <w:r>
        <w:t>Experimental conditions affected accuracy more strongly than method choice. Code A identified the number of groups G and dispersion sigma as the dominant main effects for every metric, followed by mean sample size. Code B reproduced this hierarchy after accounting for repeated measurements within simplex groups. Increasing G and mean sample size generally reduced error, whereas increasing sigma increased error. Design block and theta_true had smaller but consistent effects, theta_CV had little practical influence, and linear p1 and p2 terms were weak. The GAM results nevertheless detected nonlinear effects of simplex location for methods i, iii, iv, and v, so the absence of a linear p1 or p2 effect does not imply that composition location is irrelevant.</w:t>
      </w:r>
    </w:p>
    <w:p>
      <w:pPr>
        <w:pStyle w:val="NormalWeb"/>
      </w:pPr>
      <w:r>
        <w:t>The principal qualification is that no method dominates at every experimental setting. Method by sigma was the largest method-dependent interaction in Codes A and B, and sigma was also the largest modifier of most pairwise method differences in Code C2. Code A placed methods v and i together at its high-sigma reference condition, while Code B placed method ii first for RMSE at a low-sigma reference condition. These reversals explain why conclusions should emphasize global performance and robustness across conditions rather than a single set of estimated marginal means.</w:t>
      </w:r>
    </w:p>
    <w:p>
      <w:pPr>
        <w:pStyle w:val="Heading1"/>
        <w:keepNext/>
      </w:pPr>
      <w:r>
        <w:t>1 Analytical basis</w:t>
      </w:r>
    </w:p>
    <w:p>
      <w:pPr>
        <w:pStyle w:val="NormalWeb"/>
      </w:pPr>
      <w:r>
        <w:t>The integrated assessment combines five complementary analyses. Their agreement is more informative than any single p value because the analyses use different sampling units, dependence structures, and functional assumptions.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504"/>
        <w:gridCol w:w="3504"/>
        <w:gridCol w:w="3504"/>
      </w:tblGrid>
      <w:tr>
        <w:trPr>
          <w:tblHeader w:val="true"/>
          <w:cantSplit/>
        </w:trPr>
        <w:tc>
          <w:tcPr>
            <w:tcW w:type="dxa" w:w="1080"/>
            <w:shd w:fill="D9E2F3"/>
            <w:tcMar>
              <w:top w:w="90" w:type="dxa"/>
              <w:start w:w="100" w:type="dxa"/>
              <w:bottom w:w="90" w:type="dxa"/>
              <w:end w:w="100" w:type="dxa"/>
            </w:tcMar>
            <w:vAlign w:val="center"/>
          </w:tcPr>
          <w:p>
            <w:pPr>
              <w:spacing w:after="0"/>
              <w:jc w:val="center"/>
            </w:pPr>
            <w:r>
              <w:rPr>
                <w:rFonts w:ascii="Times New Roman" w:hAnsi="Times New Roman"/>
                <w:b/>
                <w:color w:val="000000"/>
                <w:sz w:val="18"/>
              </w:rPr>
              <w:t>Analysis</w:t>
            </w:r>
          </w:p>
        </w:tc>
        <w:tc>
          <w:tcPr>
            <w:tcW w:type="dxa" w:w="3672"/>
            <w:shd w:fill="D9E2F3"/>
            <w:tcMar>
              <w:top w:w="90" w:type="dxa"/>
              <w:start w:w="100" w:type="dxa"/>
              <w:bottom w:w="90" w:type="dxa"/>
              <w:end w:w="100" w:type="dxa"/>
            </w:tcMar>
            <w:vAlign w:val="center"/>
          </w:tcPr>
          <w:p>
            <w:pPr>
              <w:spacing w:after="0"/>
              <w:jc w:val="center"/>
            </w:pPr>
            <w:r>
              <w:rPr>
                <w:rFonts w:ascii="Times New Roman" w:hAnsi="Times New Roman"/>
                <w:b/>
                <w:color w:val="000000"/>
                <w:sz w:val="18"/>
              </w:rPr>
              <w:t>Design and scale</w:t>
            </w:r>
          </w:p>
        </w:tc>
        <w:tc>
          <w:tcPr>
            <w:tcW w:type="dxa" w:w="5760"/>
            <w:shd w:fill="D9E2F3"/>
            <w:tcMar>
              <w:top w:w="90" w:type="dxa"/>
              <w:start w:w="100" w:type="dxa"/>
              <w:bottom w:w="90" w:type="dxa"/>
              <w:end w:w="100" w:type="dxa"/>
            </w:tcMar>
            <w:vAlign w:val="center"/>
          </w:tcPr>
          <w:p>
            <w:pPr>
              <w:spacing w:after="0"/>
              <w:jc w:val="center"/>
            </w:pPr>
            <w:r>
              <w:rPr>
                <w:rFonts w:ascii="Times New Roman" w:hAnsi="Times New Roman"/>
                <w:b/>
                <w:color w:val="000000"/>
                <w:sz w:val="18"/>
              </w:rPr>
              <w:t>Primary contribution</w:t>
            </w:r>
          </w:p>
        </w:tc>
      </w:tr>
      <w:tr>
        <w:trPr>
          <w:cantSplit/>
        </w:trPr>
        <w:tc>
          <w:tcPr>
            <w:tcW w:type="dxa" w:w="1080"/>
            <w:tcMar>
              <w:top w:w="90" w:type="dxa"/>
              <w:start w:w="100" w:type="dxa"/>
              <w:bottom w:w="90" w:type="dxa"/>
              <w:end w:w="100" w:type="dxa"/>
            </w:tcMar>
            <w:vAlign w:val="center"/>
          </w:tcPr>
          <w:p>
            <w:pPr>
              <w:spacing w:after="0" w:line="240" w:lineRule="auto"/>
              <w:jc w:val="left"/>
            </w:pPr>
            <w:r>
              <w:rPr>
                <w:rFonts w:ascii="Times New Roman" w:hAnsi="Times New Roman"/>
                <w:sz w:val="18"/>
              </w:rPr>
              <w:t>Code A</w:t>
            </w:r>
          </w:p>
        </w:tc>
        <w:tc>
          <w:tcPr>
            <w:tcW w:type="dxa" w:w="3672"/>
            <w:tcMar>
              <w:top w:w="90" w:type="dxa"/>
              <w:start w:w="100" w:type="dxa"/>
              <w:bottom w:w="90" w:type="dxa"/>
              <w:end w:w="100" w:type="dxa"/>
            </w:tcMar>
            <w:vAlign w:val="center"/>
          </w:tcPr>
          <w:p>
            <w:pPr>
              <w:spacing w:after="0" w:line="240" w:lineRule="auto"/>
              <w:jc w:val="left"/>
            </w:pPr>
            <w:r>
              <w:rPr>
                <w:rFonts w:ascii="Times New Roman" w:hAnsi="Times New Roman"/>
                <w:sz w:val="18"/>
              </w:rPr>
              <w:t>Factorial MANOVA and univariate ANOVAs; reproducible sample of 500,000 rows</w:t>
            </w:r>
          </w:p>
        </w:tc>
        <w:tc>
          <w:tcPr>
            <w:tcW w:type="dxa" w:w="5760"/>
            <w:tcMar>
              <w:top w:w="90" w:type="dxa"/>
              <w:start w:w="100" w:type="dxa"/>
              <w:bottom w:w="90" w:type="dxa"/>
              <w:end w:w="100" w:type="dxa"/>
            </w:tcMar>
            <w:vAlign w:val="center"/>
          </w:tcPr>
          <w:p>
            <w:pPr>
              <w:spacing w:after="0" w:line="240" w:lineRule="auto"/>
              <w:jc w:val="left"/>
            </w:pPr>
            <w:r>
              <w:rPr>
                <w:rFonts w:ascii="Times New Roman" w:hAnsi="Times New Roman"/>
                <w:sz w:val="18"/>
              </w:rPr>
              <w:t>Overall method and factor effects for transformed RMSE and L1, with Linf analyzed separately; conditional EMMs</w:t>
            </w:r>
          </w:p>
        </w:tc>
      </w:tr>
      <w:tr>
        <w:trPr>
          <w:cantSplit/>
        </w:trPr>
        <w:tc>
          <w:tcPr>
            <w:tcW w:type="dxa" w:w="1080"/>
            <w:tcMar>
              <w:top w:w="90" w:type="dxa"/>
              <w:start w:w="100" w:type="dxa"/>
              <w:bottom w:w="90" w:type="dxa"/>
              <w:end w:w="100" w:type="dxa"/>
            </w:tcMar>
            <w:shd w:fill="F7F9FC"/>
            <w:vAlign w:val="center"/>
          </w:tcPr>
          <w:p>
            <w:pPr>
              <w:spacing w:after="0" w:line="240" w:lineRule="auto"/>
              <w:jc w:val="left"/>
            </w:pPr>
            <w:r>
              <w:rPr>
                <w:rFonts w:ascii="Times New Roman" w:hAnsi="Times New Roman"/>
                <w:sz w:val="18"/>
              </w:rPr>
              <w:t>Code B</w:t>
            </w:r>
          </w:p>
        </w:tc>
        <w:tc>
          <w:tcPr>
            <w:tcW w:type="dxa" w:w="3672"/>
            <w:tcMar>
              <w:top w:w="90" w:type="dxa"/>
              <w:start w:w="100" w:type="dxa"/>
              <w:bottom w:w="90" w:type="dxa"/>
              <w:end w:w="100" w:type="dxa"/>
            </w:tcMar>
            <w:shd w:fill="F7F9FC"/>
            <w:vAlign w:val="center"/>
          </w:tcPr>
          <w:p>
            <w:pPr>
              <w:spacing w:after="0" w:line="240" w:lineRule="auto"/>
              <w:jc w:val="left"/>
            </w:pPr>
            <w:r>
              <w:rPr>
                <w:rFonts w:ascii="Times New Roman" w:hAnsi="Times New Roman"/>
                <w:sz w:val="18"/>
              </w:rPr>
              <w:t>Weighted mixed model; 300,000 cells from 20,000 complete simplex groups representing 1.5 million observations</w:t>
            </w:r>
          </w:p>
        </w:tc>
        <w:tc>
          <w:tcPr>
            <w:tcW w:type="dxa" w:w="5760"/>
            <w:tcMar>
              <w:top w:w="90" w:type="dxa"/>
              <w:start w:w="100" w:type="dxa"/>
              <w:bottom w:w="90" w:type="dxa"/>
              <w:end w:w="100" w:type="dxa"/>
            </w:tcMar>
            <w:shd w:fill="F7F9FC"/>
            <w:vAlign w:val="center"/>
          </w:tcPr>
          <w:p>
            <w:pPr>
              <w:spacing w:after="0" w:line="240" w:lineRule="auto"/>
              <w:jc w:val="left"/>
            </w:pPr>
            <w:r>
              <w:rPr>
                <w:rFonts w:ascii="Times New Roman" w:hAnsi="Times New Roman"/>
                <w:sz w:val="18"/>
              </w:rPr>
              <w:t>Type III tests, method by metric effects, and a simplex random intercept that accounts for repeated metric and method observations</w:t>
            </w:r>
          </w:p>
        </w:tc>
      </w:tr>
      <w:tr>
        <w:trPr>
          <w:cantSplit/>
        </w:trPr>
        <w:tc>
          <w:tcPr>
            <w:tcW w:type="dxa" w:w="1080"/>
            <w:tcMar>
              <w:top w:w="90" w:type="dxa"/>
              <w:start w:w="100" w:type="dxa"/>
              <w:bottom w:w="90" w:type="dxa"/>
              <w:end w:w="100" w:type="dxa"/>
            </w:tcMar>
            <w:vAlign w:val="center"/>
          </w:tcPr>
          <w:p>
            <w:pPr>
              <w:spacing w:after="0" w:line="240" w:lineRule="auto"/>
              <w:jc w:val="left"/>
            </w:pPr>
            <w:r>
              <w:rPr>
                <w:rFonts w:ascii="Times New Roman" w:hAnsi="Times New Roman"/>
                <w:sz w:val="18"/>
              </w:rPr>
              <w:t>Code C1</w:t>
            </w:r>
          </w:p>
        </w:tc>
        <w:tc>
          <w:tcPr>
            <w:tcW w:type="dxa" w:w="3672"/>
            <w:tcMar>
              <w:top w:w="90" w:type="dxa"/>
              <w:start w:w="100" w:type="dxa"/>
              <w:bottom w:w="90" w:type="dxa"/>
              <w:end w:w="100" w:type="dxa"/>
            </w:tcMar>
            <w:vAlign w:val="center"/>
          </w:tcPr>
          <w:p>
            <w:pPr>
              <w:spacing w:after="0" w:line="240" w:lineRule="auto"/>
              <w:jc w:val="left"/>
            </w:pPr>
            <w:r>
              <w:rPr>
                <w:rFonts w:ascii="Times New Roman" w:hAnsi="Times New Roman"/>
                <w:sz w:val="18"/>
              </w:rPr>
              <w:t>Paired multivariate comparisons; 48,114 complete matched rows per method pair</w:t>
            </w:r>
          </w:p>
        </w:tc>
        <w:tc>
          <w:tcPr>
            <w:tcW w:type="dxa" w:w="5760"/>
            <w:tcMar>
              <w:top w:w="90" w:type="dxa"/>
              <w:start w:w="100" w:type="dxa"/>
              <w:bottom w:w="90" w:type="dxa"/>
              <w:end w:w="100" w:type="dxa"/>
            </w:tcMar>
            <w:vAlign w:val="center"/>
          </w:tcPr>
          <w:p>
            <w:pPr>
              <w:spacing w:after="0" w:line="240" w:lineRule="auto"/>
              <w:jc w:val="left"/>
            </w:pPr>
            <w:r>
              <w:rPr>
                <w:rFonts w:ascii="Times New Roman" w:hAnsi="Times New Roman"/>
                <w:sz w:val="18"/>
              </w:rPr>
              <w:t>Direct global percentage differences for RMSE, L1, and Linf and an effect-size ordering of method pairs</w:t>
            </w:r>
          </w:p>
        </w:tc>
      </w:tr>
      <w:tr>
        <w:trPr>
          <w:cantSplit/>
        </w:trPr>
        <w:tc>
          <w:tcPr>
            <w:tcW w:type="dxa" w:w="1080"/>
            <w:tcMar>
              <w:top w:w="90" w:type="dxa"/>
              <w:start w:w="100" w:type="dxa"/>
              <w:bottom w:w="90" w:type="dxa"/>
              <w:end w:w="100" w:type="dxa"/>
            </w:tcMar>
            <w:shd w:fill="F7F9FC"/>
            <w:vAlign w:val="center"/>
          </w:tcPr>
          <w:p>
            <w:pPr>
              <w:spacing w:after="0" w:line="240" w:lineRule="auto"/>
              <w:jc w:val="left"/>
            </w:pPr>
            <w:r>
              <w:rPr>
                <w:rFonts w:ascii="Times New Roman" w:hAnsi="Times New Roman"/>
                <w:sz w:val="18"/>
              </w:rPr>
              <w:t>Code C2</w:t>
            </w:r>
          </w:p>
        </w:tc>
        <w:tc>
          <w:tcPr>
            <w:tcW w:type="dxa" w:w="3672"/>
            <w:tcMar>
              <w:top w:w="90" w:type="dxa"/>
              <w:start w:w="100" w:type="dxa"/>
              <w:bottom w:w="90" w:type="dxa"/>
              <w:end w:w="100" w:type="dxa"/>
            </w:tcMar>
            <w:shd w:fill="F7F9FC"/>
            <w:vAlign w:val="center"/>
          </w:tcPr>
          <w:p>
            <w:pPr>
              <w:spacing w:after="0" w:line="240" w:lineRule="auto"/>
              <w:jc w:val="left"/>
            </w:pPr>
            <w:r>
              <w:rPr>
                <w:rFonts w:ascii="Times New Roman" w:hAnsi="Times New Roman"/>
                <w:sz w:val="18"/>
              </w:rPr>
              <w:t>Factorial MANOVAs and metric-specific ANOVAs of each pairwise difference</w:t>
            </w:r>
          </w:p>
        </w:tc>
        <w:tc>
          <w:tcPr>
            <w:tcW w:type="dxa" w:w="5760"/>
            <w:tcMar>
              <w:top w:w="90" w:type="dxa"/>
              <w:start w:w="100" w:type="dxa"/>
              <w:bottom w:w="90" w:type="dxa"/>
              <w:end w:w="100" w:type="dxa"/>
            </w:tcMar>
            <w:shd w:fill="F7F9FC"/>
            <w:vAlign w:val="center"/>
          </w:tcPr>
          <w:p>
            <w:pPr>
              <w:spacing w:after="0" w:line="240" w:lineRule="auto"/>
              <w:jc w:val="left"/>
            </w:pPr>
            <w:r>
              <w:rPr>
                <w:rFonts w:ascii="Times New Roman" w:hAnsi="Times New Roman"/>
                <w:sz w:val="18"/>
              </w:rPr>
              <w:t>Experimental conditions that change the size of each method advantage</w:t>
            </w:r>
          </w:p>
        </w:tc>
      </w:tr>
      <w:tr>
        <w:trPr>
          <w:cantSplit/>
        </w:trPr>
        <w:tc>
          <w:tcPr>
            <w:tcW w:type="dxa" w:w="1080"/>
            <w:tcMar>
              <w:top w:w="90" w:type="dxa"/>
              <w:start w:w="100" w:type="dxa"/>
              <w:bottom w:w="90" w:type="dxa"/>
              <w:end w:w="100" w:type="dxa"/>
            </w:tcMar>
            <w:vAlign w:val="center"/>
          </w:tcPr>
          <w:p>
            <w:pPr>
              <w:spacing w:after="0" w:line="240" w:lineRule="auto"/>
              <w:jc w:val="left"/>
            </w:pPr>
            <w:r>
              <w:rPr>
                <w:rFonts w:ascii="Times New Roman" w:hAnsi="Times New Roman"/>
                <w:sz w:val="18"/>
              </w:rPr>
              <w:t>Code E</w:t>
            </w:r>
          </w:p>
        </w:tc>
        <w:tc>
          <w:tcPr>
            <w:tcW w:type="dxa" w:w="3672"/>
            <w:tcMar>
              <w:top w:w="90" w:type="dxa"/>
              <w:start w:w="100" w:type="dxa"/>
              <w:bottom w:w="90" w:type="dxa"/>
              <w:end w:w="100" w:type="dxa"/>
            </w:tcMar>
            <w:vAlign w:val="center"/>
          </w:tcPr>
          <w:p>
            <w:pPr>
              <w:spacing w:after="0" w:line="240" w:lineRule="auto"/>
              <w:jc w:val="left"/>
            </w:pPr>
            <w:r>
              <w:rPr>
                <w:rFonts w:ascii="Times New Roman" w:hAnsi="Times New Roman"/>
                <w:sz w:val="18"/>
              </w:rPr>
              <w:t>Global GAM with 500,000 rows and v-minus-iii difference GAM with 144,342 rows</w:t>
            </w:r>
          </w:p>
        </w:tc>
        <w:tc>
          <w:tcPr>
            <w:tcW w:type="dxa" w:w="5760"/>
            <w:tcMar>
              <w:top w:w="90" w:type="dxa"/>
              <w:start w:w="100" w:type="dxa"/>
              <w:bottom w:w="90" w:type="dxa"/>
              <w:end w:w="100" w:type="dxa"/>
            </w:tcMar>
            <w:vAlign w:val="center"/>
          </w:tcPr>
          <w:p>
            <w:pPr>
              <w:spacing w:after="0" w:line="240" w:lineRule="auto"/>
              <w:jc w:val="left"/>
            </w:pPr>
            <w:r>
              <w:rPr>
                <w:rFonts w:ascii="Times New Roman" w:hAnsi="Times New Roman"/>
                <w:sz w:val="18"/>
              </w:rPr>
              <w:t>Nonlinear effects across the simplex and metric-specific comparison of the two leading methods</w:t>
            </w:r>
          </w:p>
        </w:tc>
      </w:tr>
    </w:tbl>
    <w:p>
      <w:pPr>
        <w:pStyle w:val="NormalWeb"/>
        <w:spacing w:after="20"/>
      </w:pPr>
    </w:p>
    <w:p>
      <w:pPr>
        <w:pStyle w:val="NormalWeb"/>
      </w:pPr>
      <w:r>
        <w:t>Code A used sequential sums of squares, so its approximate partial eta-squared values are order-dependent when the sampled design is not exactly balanced. Code B provides an important confirmation because its Type III tests account for the other terms in the model and its random intercept captures simplex-level dependence. The Code B fit was non-singular, had no optimizer warnings, and implied an intraclass correlation of about 0.070. Code C1 supplies the clearest descriptive ranking because it compares methods within matched cases and converts mean log differences to percentage changes in error.</w:t>
      </w:r>
    </w:p>
    <w:p>
      <w:pPr>
        <w:pStyle w:val="Heading1"/>
        <w:keepNext/>
      </w:pPr>
      <w:r>
        <w:t>2 Evidence that the methods differ</w:t>
      </w:r>
    </w:p>
    <w:p>
      <w:pPr>
        <w:pStyle w:val="NormalWeb"/>
      </w:pPr>
      <w:r>
        <w:t>All analyses reject equality of the five methods, but the magnitude of the method effect is smaller than the effects of G and sigma. In Code A, the multivariate method effect was Pillai = 0.017701, approximate F = 1,116, p &lt; 2e-16. The corresponding Pillai values were 0.268621 for G, 0.238407 for sigma, and 0.072059 for mean sample size. Code B also found a strong method effect after accounting for simplex-level clustering, F(4, 279930) = 420.89, p &lt; 2.2e-16, but G and sigma produced much larger F values of 17,173 and 16,006.</w:t>
      </w:r>
    </w:p>
    <w:p>
      <w:pPr>
        <w:pStyle w:val="NormalWeb"/>
      </w:pPr>
      <w:r>
        <w:t>The methods also differed in how their performance changed across metrics and experimental conditions. Code B found a method by metric interaction, F(8, 279930) = 404.43, and the largest condition interaction was method by sigma, F = 859.09. Code A gave the same hierarchy: method by sigma had Pillai = 0.008052, compared with 0.002646 for method by G and 0.001087 for method by mean sample size. Thus, an overall main-effect ranking is useful, but it does not fully describe performance within every condition.</w:t>
      </w:r>
    </w:p>
    <w:p>
      <w:pPr>
        <w:pStyle w:val="Heading1"/>
        <w:keepNext/>
      </w:pPr>
      <w:r>
        <w:t>3 Relative performance of methods</w:t>
      </w:r>
    </w:p>
    <w:p>
      <w:pPr>
        <w:pStyle w:val="Heading2"/>
        <w:keepNext/>
      </w:pPr>
      <w:r>
        <w:t>3.1 Global paired comparisons</w:t>
      </w:r>
    </w:p>
    <w:p>
      <w:pPr>
        <w:pStyle w:val="NormalWeb"/>
      </w:pPr>
      <w:r>
        <w:t>Code C1 provides the strongest direct evidence for the overall ranking because every comparison used the same 48,114 matched cases. All ten multivariate pairwise tests were significant. The largest separations involved method ii: Pillai values were 0.597 for v versus ii, 0.566 for iii versus ii, and 0.482 for iv versus ii. Differences within the leading group were much smaller, including Pillai = 0.029 for v versus iii.</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102"/>
        <w:gridCol w:w="2102"/>
        <w:gridCol w:w="2102"/>
        <w:gridCol w:w="2102"/>
        <w:gridCol w:w="2102"/>
      </w:tblGrid>
      <w:tr>
        <w:trPr>
          <w:tblHeader w:val="true"/>
          <w:cantSplit/>
        </w:trPr>
        <w:tc>
          <w:tcPr>
            <w:tcW w:type="dxa" w:w="1512"/>
            <w:shd w:fill="D9E2F3"/>
            <w:tcMar>
              <w:top w:w="90" w:type="dxa"/>
              <w:start w:w="100" w:type="dxa"/>
              <w:bottom w:w="90" w:type="dxa"/>
              <w:end w:w="100" w:type="dxa"/>
            </w:tcMar>
            <w:vAlign w:val="center"/>
          </w:tcPr>
          <w:p>
            <w:pPr>
              <w:spacing w:after="0"/>
              <w:jc w:val="center"/>
            </w:pPr>
            <w:r>
              <w:rPr>
                <w:rFonts w:ascii="Times New Roman" w:hAnsi="Times New Roman"/>
                <w:b/>
                <w:color w:val="000000"/>
                <w:sz w:val="18"/>
              </w:rPr>
              <w:t>Comparison</w:t>
            </w:r>
          </w:p>
        </w:tc>
        <w:tc>
          <w:tcPr>
            <w:tcW w:type="dxa" w:w="1224"/>
            <w:shd w:fill="D9E2F3"/>
            <w:tcMar>
              <w:top w:w="90" w:type="dxa"/>
              <w:start w:w="100" w:type="dxa"/>
              <w:bottom w:w="90" w:type="dxa"/>
              <w:end w:w="100" w:type="dxa"/>
            </w:tcMar>
            <w:vAlign w:val="center"/>
          </w:tcPr>
          <w:p>
            <w:pPr>
              <w:spacing w:after="0"/>
              <w:jc w:val="center"/>
            </w:pPr>
            <w:r>
              <w:rPr>
                <w:rFonts w:ascii="Times New Roman" w:hAnsi="Times New Roman"/>
                <w:b/>
                <w:color w:val="000000"/>
                <w:sz w:val="18"/>
              </w:rPr>
              <w:t>RMSE change</w:t>
            </w:r>
          </w:p>
        </w:tc>
        <w:tc>
          <w:tcPr>
            <w:tcW w:type="dxa" w:w="1224"/>
            <w:shd w:fill="D9E2F3"/>
            <w:tcMar>
              <w:top w:w="90" w:type="dxa"/>
              <w:start w:w="100" w:type="dxa"/>
              <w:bottom w:w="90" w:type="dxa"/>
              <w:end w:w="100" w:type="dxa"/>
            </w:tcMar>
            <w:vAlign w:val="center"/>
          </w:tcPr>
          <w:p>
            <w:pPr>
              <w:spacing w:after="0"/>
              <w:jc w:val="center"/>
            </w:pPr>
            <w:r>
              <w:rPr>
                <w:rFonts w:ascii="Times New Roman" w:hAnsi="Times New Roman"/>
                <w:b/>
                <w:color w:val="000000"/>
                <w:sz w:val="18"/>
              </w:rPr>
              <w:t>L1 change</w:t>
            </w:r>
          </w:p>
        </w:tc>
        <w:tc>
          <w:tcPr>
            <w:tcW w:type="dxa" w:w="1224"/>
            <w:shd w:fill="D9E2F3"/>
            <w:tcMar>
              <w:top w:w="90" w:type="dxa"/>
              <w:start w:w="100" w:type="dxa"/>
              <w:bottom w:w="90" w:type="dxa"/>
              <w:end w:w="100" w:type="dxa"/>
            </w:tcMar>
            <w:vAlign w:val="center"/>
          </w:tcPr>
          <w:p>
            <w:pPr>
              <w:spacing w:after="0"/>
              <w:jc w:val="center"/>
            </w:pPr>
            <w:r>
              <w:rPr>
                <w:rFonts w:ascii="Times New Roman" w:hAnsi="Times New Roman"/>
                <w:b/>
                <w:color w:val="000000"/>
                <w:sz w:val="18"/>
              </w:rPr>
              <w:t>Linf change</w:t>
            </w:r>
          </w:p>
        </w:tc>
        <w:tc>
          <w:tcPr>
            <w:tcW w:type="dxa" w:w="5328"/>
            <w:shd w:fill="D9E2F3"/>
            <w:tcMar>
              <w:top w:w="90" w:type="dxa"/>
              <w:start w:w="100" w:type="dxa"/>
              <w:bottom w:w="90" w:type="dxa"/>
              <w:end w:w="100" w:type="dxa"/>
            </w:tcMar>
            <w:vAlign w:val="center"/>
          </w:tcPr>
          <w:p>
            <w:pPr>
              <w:spacing w:after="0"/>
              <w:jc w:val="center"/>
            </w:pPr>
            <w:r>
              <w:rPr>
                <w:rFonts w:ascii="Times New Roman" w:hAnsi="Times New Roman"/>
                <w:b/>
                <w:color w:val="000000"/>
                <w:sz w:val="18"/>
              </w:rPr>
              <w:t>Interpretation</w:t>
            </w:r>
          </w:p>
        </w:tc>
      </w:tr>
      <w:tr>
        <w:trPr>
          <w:cantSplit/>
        </w:trPr>
        <w:tc>
          <w:tcPr>
            <w:tcW w:type="dxa" w:w="1512"/>
            <w:tcMar>
              <w:top w:w="90" w:type="dxa"/>
              <w:start w:w="100" w:type="dxa"/>
              <w:bottom w:w="90" w:type="dxa"/>
              <w:end w:w="100" w:type="dxa"/>
            </w:tcMar>
            <w:vAlign w:val="center"/>
          </w:tcPr>
          <w:p>
            <w:pPr>
              <w:spacing w:after="0" w:line="240" w:lineRule="auto"/>
              <w:jc w:val="left"/>
            </w:pPr>
            <w:r>
              <w:rPr>
                <w:rFonts w:ascii="Times New Roman" w:hAnsi="Times New Roman"/>
                <w:sz w:val="18"/>
              </w:rPr>
              <w:t>ii versus i</w:t>
            </w:r>
          </w:p>
        </w:tc>
        <w:tc>
          <w:tcPr>
            <w:tcW w:type="dxa" w:w="1224"/>
            <w:tcMar>
              <w:top w:w="90" w:type="dxa"/>
              <w:start w:w="100" w:type="dxa"/>
              <w:bottom w:w="90" w:type="dxa"/>
              <w:end w:w="100" w:type="dxa"/>
            </w:tcMar>
            <w:vAlign w:val="center"/>
          </w:tcPr>
          <w:p>
            <w:pPr>
              <w:spacing w:after="0" w:line="240" w:lineRule="auto"/>
              <w:jc w:val="center"/>
            </w:pPr>
            <w:r>
              <w:rPr>
                <w:rFonts w:ascii="Times New Roman" w:hAnsi="Times New Roman"/>
                <w:sz w:val="18"/>
              </w:rPr>
              <w:t>+14.22%</w:t>
            </w:r>
          </w:p>
        </w:tc>
        <w:tc>
          <w:tcPr>
            <w:tcW w:type="dxa" w:w="1224"/>
            <w:tcMar>
              <w:top w:w="90" w:type="dxa"/>
              <w:start w:w="100" w:type="dxa"/>
              <w:bottom w:w="90" w:type="dxa"/>
              <w:end w:w="100" w:type="dxa"/>
            </w:tcMar>
            <w:vAlign w:val="center"/>
          </w:tcPr>
          <w:p>
            <w:pPr>
              <w:spacing w:after="0" w:line="240" w:lineRule="auto"/>
              <w:jc w:val="center"/>
            </w:pPr>
            <w:r>
              <w:rPr>
                <w:rFonts w:ascii="Times New Roman" w:hAnsi="Times New Roman"/>
                <w:sz w:val="18"/>
              </w:rPr>
              <w:t>+13.91%</w:t>
            </w:r>
          </w:p>
        </w:tc>
        <w:tc>
          <w:tcPr>
            <w:tcW w:type="dxa" w:w="1224"/>
            <w:tcMar>
              <w:top w:w="90" w:type="dxa"/>
              <w:start w:w="100" w:type="dxa"/>
              <w:bottom w:w="90" w:type="dxa"/>
              <w:end w:w="100" w:type="dxa"/>
            </w:tcMar>
            <w:vAlign w:val="center"/>
          </w:tcPr>
          <w:p>
            <w:pPr>
              <w:spacing w:after="0" w:line="240" w:lineRule="auto"/>
              <w:jc w:val="center"/>
            </w:pPr>
            <w:r>
              <w:rPr>
                <w:rFonts w:ascii="Times New Roman" w:hAnsi="Times New Roman"/>
                <w:sz w:val="18"/>
              </w:rPr>
              <w:t>+14.11%</w:t>
            </w:r>
          </w:p>
        </w:tc>
        <w:tc>
          <w:tcPr>
            <w:tcW w:type="dxa" w:w="5328"/>
            <w:tcMar>
              <w:top w:w="90" w:type="dxa"/>
              <w:start w:w="100" w:type="dxa"/>
              <w:bottom w:w="90" w:type="dxa"/>
              <w:end w:w="100" w:type="dxa"/>
            </w:tcMar>
            <w:vAlign w:val="center"/>
          </w:tcPr>
          <w:p>
            <w:pPr>
              <w:spacing w:after="0" w:line="240" w:lineRule="auto"/>
              <w:jc w:val="left"/>
            </w:pPr>
            <w:r>
              <w:rPr>
                <w:rFonts w:ascii="Times New Roman" w:hAnsi="Times New Roman"/>
                <w:sz w:val="18"/>
              </w:rPr>
              <w:t>Method ii has substantially higher error</w:t>
            </w:r>
          </w:p>
        </w:tc>
      </w:tr>
      <w:tr>
        <w:trPr>
          <w:cantSplit/>
        </w:trPr>
        <w:tc>
          <w:tcPr>
            <w:tcW w:type="dxa" w:w="1512"/>
            <w:tcMar>
              <w:top w:w="90" w:type="dxa"/>
              <w:start w:w="100" w:type="dxa"/>
              <w:bottom w:w="90" w:type="dxa"/>
              <w:end w:w="100" w:type="dxa"/>
            </w:tcMar>
            <w:shd w:fill="F7F9FC"/>
            <w:vAlign w:val="center"/>
          </w:tcPr>
          <w:p>
            <w:pPr>
              <w:spacing w:after="0" w:line="240" w:lineRule="auto"/>
              <w:jc w:val="left"/>
            </w:pPr>
            <w:r>
              <w:rPr>
                <w:rFonts w:ascii="Times New Roman" w:hAnsi="Times New Roman"/>
                <w:sz w:val="18"/>
              </w:rPr>
              <w:t>iii versus i</w:t>
            </w:r>
          </w:p>
        </w:tc>
        <w:tc>
          <w:tcPr>
            <w:tcW w:type="dxa" w:w="1224"/>
            <w:tcMar>
              <w:top w:w="90" w:type="dxa"/>
              <w:start w:w="100" w:type="dxa"/>
              <w:bottom w:w="90" w:type="dxa"/>
              <w:end w:w="100" w:type="dxa"/>
            </w:tcMar>
            <w:shd w:fill="F7F9FC"/>
            <w:vAlign w:val="center"/>
          </w:tcPr>
          <w:p>
            <w:pPr>
              <w:spacing w:after="0" w:line="240" w:lineRule="auto"/>
              <w:jc w:val="center"/>
            </w:pPr>
            <w:r>
              <w:rPr>
                <w:rFonts w:ascii="Times New Roman" w:hAnsi="Times New Roman"/>
                <w:sz w:val="18"/>
              </w:rPr>
              <w:t>-3.38%</w:t>
            </w:r>
          </w:p>
        </w:tc>
        <w:tc>
          <w:tcPr>
            <w:tcW w:type="dxa" w:w="1224"/>
            <w:tcMar>
              <w:top w:w="90" w:type="dxa"/>
              <w:start w:w="100" w:type="dxa"/>
              <w:bottom w:w="90" w:type="dxa"/>
              <w:end w:w="100" w:type="dxa"/>
            </w:tcMar>
            <w:shd w:fill="F7F9FC"/>
            <w:vAlign w:val="center"/>
          </w:tcPr>
          <w:p>
            <w:pPr>
              <w:spacing w:after="0" w:line="240" w:lineRule="auto"/>
              <w:jc w:val="center"/>
            </w:pPr>
            <w:r>
              <w:rPr>
                <w:rFonts w:ascii="Times New Roman" w:hAnsi="Times New Roman"/>
                <w:sz w:val="18"/>
              </w:rPr>
              <w:t>-3.21%</w:t>
            </w:r>
          </w:p>
        </w:tc>
        <w:tc>
          <w:tcPr>
            <w:tcW w:type="dxa" w:w="1224"/>
            <w:tcMar>
              <w:top w:w="90" w:type="dxa"/>
              <w:start w:w="100" w:type="dxa"/>
              <w:bottom w:w="90" w:type="dxa"/>
              <w:end w:w="100" w:type="dxa"/>
            </w:tcMar>
            <w:shd w:fill="F7F9FC"/>
            <w:vAlign w:val="center"/>
          </w:tcPr>
          <w:p>
            <w:pPr>
              <w:spacing w:after="0" w:line="240" w:lineRule="auto"/>
              <w:jc w:val="center"/>
            </w:pPr>
            <w:r>
              <w:rPr>
                <w:rFonts w:ascii="Times New Roman" w:hAnsi="Times New Roman"/>
                <w:sz w:val="18"/>
              </w:rPr>
              <w:t>-3.92%</w:t>
            </w:r>
          </w:p>
        </w:tc>
        <w:tc>
          <w:tcPr>
            <w:tcW w:type="dxa" w:w="5328"/>
            <w:tcMar>
              <w:top w:w="90" w:type="dxa"/>
              <w:start w:w="100" w:type="dxa"/>
              <w:bottom w:w="90" w:type="dxa"/>
              <w:end w:w="100" w:type="dxa"/>
            </w:tcMar>
            <w:shd w:fill="F7F9FC"/>
            <w:vAlign w:val="center"/>
          </w:tcPr>
          <w:p>
            <w:pPr>
              <w:spacing w:after="0" w:line="240" w:lineRule="auto"/>
              <w:jc w:val="left"/>
            </w:pPr>
            <w:r>
              <w:rPr>
                <w:rFonts w:ascii="Times New Roman" w:hAnsi="Times New Roman"/>
                <w:sz w:val="18"/>
              </w:rPr>
              <w:t>Method iii improves all metrics</w:t>
            </w:r>
          </w:p>
        </w:tc>
      </w:tr>
      <w:tr>
        <w:trPr>
          <w:cantSplit/>
        </w:trPr>
        <w:tc>
          <w:tcPr>
            <w:tcW w:type="dxa" w:w="1512"/>
            <w:tcMar>
              <w:top w:w="90" w:type="dxa"/>
              <w:start w:w="100" w:type="dxa"/>
              <w:bottom w:w="90" w:type="dxa"/>
              <w:end w:w="100" w:type="dxa"/>
            </w:tcMar>
            <w:vAlign w:val="center"/>
          </w:tcPr>
          <w:p>
            <w:pPr>
              <w:spacing w:after="0" w:line="240" w:lineRule="auto"/>
              <w:jc w:val="left"/>
            </w:pPr>
            <w:r>
              <w:rPr>
                <w:rFonts w:ascii="Times New Roman" w:hAnsi="Times New Roman"/>
                <w:sz w:val="18"/>
              </w:rPr>
              <w:t>iv versus i</w:t>
            </w:r>
          </w:p>
        </w:tc>
        <w:tc>
          <w:tcPr>
            <w:tcW w:type="dxa" w:w="1224"/>
            <w:tcMar>
              <w:top w:w="90" w:type="dxa"/>
              <w:start w:w="100" w:type="dxa"/>
              <w:bottom w:w="90" w:type="dxa"/>
              <w:end w:w="100" w:type="dxa"/>
            </w:tcMar>
            <w:vAlign w:val="center"/>
          </w:tcPr>
          <w:p>
            <w:pPr>
              <w:spacing w:after="0" w:line="240" w:lineRule="auto"/>
              <w:jc w:val="center"/>
            </w:pPr>
            <w:r>
              <w:rPr>
                <w:rFonts w:ascii="Times New Roman" w:hAnsi="Times New Roman"/>
                <w:sz w:val="18"/>
              </w:rPr>
              <w:t>-1.26%</w:t>
            </w:r>
          </w:p>
        </w:tc>
        <w:tc>
          <w:tcPr>
            <w:tcW w:type="dxa" w:w="1224"/>
            <w:tcMar>
              <w:top w:w="90" w:type="dxa"/>
              <w:start w:w="100" w:type="dxa"/>
              <w:bottom w:w="90" w:type="dxa"/>
              <w:end w:w="100" w:type="dxa"/>
            </w:tcMar>
            <w:vAlign w:val="center"/>
          </w:tcPr>
          <w:p>
            <w:pPr>
              <w:spacing w:after="0" w:line="240" w:lineRule="auto"/>
              <w:jc w:val="center"/>
            </w:pPr>
            <w:r>
              <w:rPr>
                <w:rFonts w:ascii="Times New Roman" w:hAnsi="Times New Roman"/>
                <w:sz w:val="18"/>
              </w:rPr>
              <w:t>-0.78%</w:t>
            </w:r>
          </w:p>
        </w:tc>
        <w:tc>
          <w:tcPr>
            <w:tcW w:type="dxa" w:w="1224"/>
            <w:tcMar>
              <w:top w:w="90" w:type="dxa"/>
              <w:start w:w="100" w:type="dxa"/>
              <w:bottom w:w="90" w:type="dxa"/>
              <w:end w:w="100" w:type="dxa"/>
            </w:tcMar>
            <w:vAlign w:val="center"/>
          </w:tcPr>
          <w:p>
            <w:pPr>
              <w:spacing w:after="0" w:line="240" w:lineRule="auto"/>
              <w:jc w:val="center"/>
            </w:pPr>
            <w:r>
              <w:rPr>
                <w:rFonts w:ascii="Times New Roman" w:hAnsi="Times New Roman"/>
                <w:sz w:val="18"/>
              </w:rPr>
              <w:t>-2.04%</w:t>
            </w:r>
          </w:p>
        </w:tc>
        <w:tc>
          <w:tcPr>
            <w:tcW w:type="dxa" w:w="5328"/>
            <w:tcMar>
              <w:top w:w="90" w:type="dxa"/>
              <w:start w:w="100" w:type="dxa"/>
              <w:bottom w:w="90" w:type="dxa"/>
              <w:end w:w="100" w:type="dxa"/>
            </w:tcMar>
            <w:vAlign w:val="center"/>
          </w:tcPr>
          <w:p>
            <w:pPr>
              <w:spacing w:after="0" w:line="240" w:lineRule="auto"/>
              <w:jc w:val="left"/>
            </w:pPr>
            <w:r>
              <w:rPr>
                <w:rFonts w:ascii="Times New Roman" w:hAnsi="Times New Roman"/>
                <w:sz w:val="18"/>
              </w:rPr>
              <w:t>Method iv gives a smaller improvement</w:t>
            </w:r>
          </w:p>
        </w:tc>
      </w:tr>
      <w:tr>
        <w:trPr>
          <w:cantSplit/>
        </w:trPr>
        <w:tc>
          <w:tcPr>
            <w:tcW w:type="dxa" w:w="1512"/>
            <w:tcMar>
              <w:top w:w="90" w:type="dxa"/>
              <w:start w:w="100" w:type="dxa"/>
              <w:bottom w:w="90" w:type="dxa"/>
              <w:end w:w="100" w:type="dxa"/>
            </w:tcMar>
            <w:shd w:fill="F7F9FC"/>
            <w:vAlign w:val="center"/>
          </w:tcPr>
          <w:p>
            <w:pPr>
              <w:spacing w:after="0" w:line="240" w:lineRule="auto"/>
              <w:jc w:val="left"/>
            </w:pPr>
            <w:r>
              <w:rPr>
                <w:rFonts w:ascii="Times New Roman" w:hAnsi="Times New Roman"/>
                <w:sz w:val="18"/>
              </w:rPr>
              <w:t>v versus i</w:t>
            </w:r>
          </w:p>
        </w:tc>
        <w:tc>
          <w:tcPr>
            <w:tcW w:type="dxa" w:w="1224"/>
            <w:tcMar>
              <w:top w:w="90" w:type="dxa"/>
              <w:start w:w="100" w:type="dxa"/>
              <w:bottom w:w="90" w:type="dxa"/>
              <w:end w:w="100" w:type="dxa"/>
            </w:tcMar>
            <w:shd w:fill="F7F9FC"/>
            <w:vAlign w:val="center"/>
          </w:tcPr>
          <w:p>
            <w:pPr>
              <w:spacing w:after="0" w:line="240" w:lineRule="auto"/>
              <w:jc w:val="center"/>
            </w:pPr>
            <w:r>
              <w:rPr>
                <w:rFonts w:ascii="Times New Roman" w:hAnsi="Times New Roman"/>
                <w:sz w:val="18"/>
              </w:rPr>
              <w:t>-3.92%</w:t>
            </w:r>
          </w:p>
        </w:tc>
        <w:tc>
          <w:tcPr>
            <w:tcW w:type="dxa" w:w="1224"/>
            <w:tcMar>
              <w:top w:w="90" w:type="dxa"/>
              <w:start w:w="100" w:type="dxa"/>
              <w:bottom w:w="90" w:type="dxa"/>
              <w:end w:w="100" w:type="dxa"/>
            </w:tcMar>
            <w:shd w:fill="F7F9FC"/>
            <w:vAlign w:val="center"/>
          </w:tcPr>
          <w:p>
            <w:pPr>
              <w:spacing w:after="0" w:line="240" w:lineRule="auto"/>
              <w:jc w:val="center"/>
            </w:pPr>
            <w:r>
              <w:rPr>
                <w:rFonts w:ascii="Times New Roman" w:hAnsi="Times New Roman"/>
                <w:sz w:val="18"/>
              </w:rPr>
              <w:t>-3.80%</w:t>
            </w:r>
          </w:p>
        </w:tc>
        <w:tc>
          <w:tcPr>
            <w:tcW w:type="dxa" w:w="1224"/>
            <w:tcMar>
              <w:top w:w="90" w:type="dxa"/>
              <w:start w:w="100" w:type="dxa"/>
              <w:bottom w:w="90" w:type="dxa"/>
              <w:end w:w="100" w:type="dxa"/>
            </w:tcMar>
            <w:shd w:fill="F7F9FC"/>
            <w:vAlign w:val="center"/>
          </w:tcPr>
          <w:p>
            <w:pPr>
              <w:spacing w:after="0" w:line="240" w:lineRule="auto"/>
              <w:jc w:val="center"/>
            </w:pPr>
            <w:r>
              <w:rPr>
                <w:rFonts w:ascii="Times New Roman" w:hAnsi="Times New Roman"/>
                <w:sz w:val="18"/>
              </w:rPr>
              <w:t>-4.29%</w:t>
            </w:r>
          </w:p>
        </w:tc>
        <w:tc>
          <w:tcPr>
            <w:tcW w:type="dxa" w:w="5328"/>
            <w:tcMar>
              <w:top w:w="90" w:type="dxa"/>
              <w:start w:w="100" w:type="dxa"/>
              <w:bottom w:w="90" w:type="dxa"/>
              <w:end w:w="100" w:type="dxa"/>
            </w:tcMar>
            <w:shd w:fill="F7F9FC"/>
            <w:vAlign w:val="center"/>
          </w:tcPr>
          <w:p>
            <w:pPr>
              <w:spacing w:after="0" w:line="240" w:lineRule="auto"/>
              <w:jc w:val="left"/>
            </w:pPr>
            <w:r>
              <w:rPr>
                <w:rFonts w:ascii="Times New Roman" w:hAnsi="Times New Roman"/>
                <w:sz w:val="18"/>
              </w:rPr>
              <w:t>Method v gives the largest improvement over i</w:t>
            </w:r>
          </w:p>
        </w:tc>
      </w:tr>
      <w:tr>
        <w:trPr>
          <w:cantSplit/>
        </w:trPr>
        <w:tc>
          <w:tcPr>
            <w:tcW w:type="dxa" w:w="1512"/>
            <w:tcMar>
              <w:top w:w="90" w:type="dxa"/>
              <w:start w:w="100" w:type="dxa"/>
              <w:bottom w:w="90" w:type="dxa"/>
              <w:end w:w="100" w:type="dxa"/>
            </w:tcMar>
            <w:vAlign w:val="center"/>
          </w:tcPr>
          <w:p>
            <w:pPr>
              <w:spacing w:after="0" w:line="240" w:lineRule="auto"/>
              <w:jc w:val="left"/>
            </w:pPr>
            <w:r>
              <w:rPr>
                <w:rFonts w:ascii="Times New Roman" w:hAnsi="Times New Roman"/>
                <w:sz w:val="18"/>
              </w:rPr>
              <w:t>v versus iii</w:t>
            </w:r>
          </w:p>
        </w:tc>
        <w:tc>
          <w:tcPr>
            <w:tcW w:type="dxa" w:w="1224"/>
            <w:tcMar>
              <w:top w:w="90" w:type="dxa"/>
              <w:start w:w="100" w:type="dxa"/>
              <w:bottom w:w="90" w:type="dxa"/>
              <w:end w:w="100" w:type="dxa"/>
            </w:tcMar>
            <w:vAlign w:val="center"/>
          </w:tcPr>
          <w:p>
            <w:pPr>
              <w:spacing w:after="0" w:line="240" w:lineRule="auto"/>
              <w:jc w:val="center"/>
            </w:pPr>
            <w:r>
              <w:rPr>
                <w:rFonts w:ascii="Times New Roman" w:hAnsi="Times New Roman"/>
                <w:sz w:val="18"/>
              </w:rPr>
              <w:t>-0.56%</w:t>
            </w:r>
          </w:p>
        </w:tc>
        <w:tc>
          <w:tcPr>
            <w:tcW w:type="dxa" w:w="1224"/>
            <w:tcMar>
              <w:top w:w="90" w:type="dxa"/>
              <w:start w:w="100" w:type="dxa"/>
              <w:bottom w:w="90" w:type="dxa"/>
              <w:end w:w="100" w:type="dxa"/>
            </w:tcMar>
            <w:vAlign w:val="center"/>
          </w:tcPr>
          <w:p>
            <w:pPr>
              <w:spacing w:after="0" w:line="240" w:lineRule="auto"/>
              <w:jc w:val="center"/>
            </w:pPr>
            <w:r>
              <w:rPr>
                <w:rFonts w:ascii="Times New Roman" w:hAnsi="Times New Roman"/>
                <w:sz w:val="18"/>
              </w:rPr>
              <w:t>-0.61%</w:t>
            </w:r>
          </w:p>
        </w:tc>
        <w:tc>
          <w:tcPr>
            <w:tcW w:type="dxa" w:w="1224"/>
            <w:tcMar>
              <w:top w:w="90" w:type="dxa"/>
              <w:start w:w="100" w:type="dxa"/>
              <w:bottom w:w="90" w:type="dxa"/>
              <w:end w:w="100" w:type="dxa"/>
            </w:tcMar>
            <w:vAlign w:val="center"/>
          </w:tcPr>
          <w:p>
            <w:pPr>
              <w:spacing w:after="0" w:line="240" w:lineRule="auto"/>
              <w:jc w:val="center"/>
            </w:pPr>
            <w:r>
              <w:rPr>
                <w:rFonts w:ascii="Times New Roman" w:hAnsi="Times New Roman"/>
                <w:sz w:val="18"/>
              </w:rPr>
              <w:t>-0.39%</w:t>
            </w:r>
          </w:p>
        </w:tc>
        <w:tc>
          <w:tcPr>
            <w:tcW w:type="dxa" w:w="5328"/>
            <w:tcMar>
              <w:top w:w="90" w:type="dxa"/>
              <w:start w:w="100" w:type="dxa"/>
              <w:bottom w:w="90" w:type="dxa"/>
              <w:end w:w="100" w:type="dxa"/>
            </w:tcMar>
            <w:vAlign w:val="center"/>
          </w:tcPr>
          <w:p>
            <w:pPr>
              <w:spacing w:after="0" w:line="240" w:lineRule="auto"/>
              <w:jc w:val="left"/>
            </w:pPr>
            <w:r>
              <w:rPr>
                <w:rFonts w:ascii="Times New Roman" w:hAnsi="Times New Roman"/>
                <w:sz w:val="18"/>
              </w:rPr>
              <w:t>Method v has a small global advantage</w:t>
            </w:r>
          </w:p>
        </w:tc>
      </w:tr>
      <w:tr>
        <w:trPr>
          <w:cantSplit/>
        </w:trPr>
        <w:tc>
          <w:tcPr>
            <w:tcW w:type="dxa" w:w="1512"/>
            <w:tcMar>
              <w:top w:w="90" w:type="dxa"/>
              <w:start w:w="100" w:type="dxa"/>
              <w:bottom w:w="90" w:type="dxa"/>
              <w:end w:w="100" w:type="dxa"/>
            </w:tcMar>
            <w:shd w:fill="F7F9FC"/>
            <w:vAlign w:val="center"/>
          </w:tcPr>
          <w:p>
            <w:pPr>
              <w:spacing w:after="0" w:line="240" w:lineRule="auto"/>
              <w:jc w:val="left"/>
            </w:pPr>
            <w:r>
              <w:rPr>
                <w:rFonts w:ascii="Times New Roman" w:hAnsi="Times New Roman"/>
                <w:sz w:val="18"/>
              </w:rPr>
              <w:t>v versus iv</w:t>
            </w:r>
          </w:p>
        </w:tc>
        <w:tc>
          <w:tcPr>
            <w:tcW w:type="dxa" w:w="1224"/>
            <w:tcMar>
              <w:top w:w="90" w:type="dxa"/>
              <w:start w:w="100" w:type="dxa"/>
              <w:bottom w:w="90" w:type="dxa"/>
              <w:end w:w="100" w:type="dxa"/>
            </w:tcMar>
            <w:shd w:fill="F7F9FC"/>
            <w:vAlign w:val="center"/>
          </w:tcPr>
          <w:p>
            <w:pPr>
              <w:spacing w:after="0" w:line="240" w:lineRule="auto"/>
              <w:jc w:val="center"/>
            </w:pPr>
            <w:r>
              <w:rPr>
                <w:rFonts w:ascii="Times New Roman" w:hAnsi="Times New Roman"/>
                <w:sz w:val="18"/>
              </w:rPr>
              <w:t>-2.70%</w:t>
            </w:r>
          </w:p>
        </w:tc>
        <w:tc>
          <w:tcPr>
            <w:tcW w:type="dxa" w:w="1224"/>
            <w:tcMar>
              <w:top w:w="90" w:type="dxa"/>
              <w:start w:w="100" w:type="dxa"/>
              <w:bottom w:w="90" w:type="dxa"/>
              <w:end w:w="100" w:type="dxa"/>
            </w:tcMar>
            <w:shd w:fill="F7F9FC"/>
            <w:vAlign w:val="center"/>
          </w:tcPr>
          <w:p>
            <w:pPr>
              <w:spacing w:after="0" w:line="240" w:lineRule="auto"/>
              <w:jc w:val="center"/>
            </w:pPr>
            <w:r>
              <w:rPr>
                <w:rFonts w:ascii="Times New Roman" w:hAnsi="Times New Roman"/>
                <w:sz w:val="18"/>
              </w:rPr>
              <w:t>-3.04%</w:t>
            </w:r>
          </w:p>
        </w:tc>
        <w:tc>
          <w:tcPr>
            <w:tcW w:type="dxa" w:w="1224"/>
            <w:tcMar>
              <w:top w:w="90" w:type="dxa"/>
              <w:start w:w="100" w:type="dxa"/>
              <w:bottom w:w="90" w:type="dxa"/>
              <w:end w:w="100" w:type="dxa"/>
            </w:tcMar>
            <w:shd w:fill="F7F9FC"/>
            <w:vAlign w:val="center"/>
          </w:tcPr>
          <w:p>
            <w:pPr>
              <w:spacing w:after="0" w:line="240" w:lineRule="auto"/>
              <w:jc w:val="center"/>
            </w:pPr>
            <w:r>
              <w:rPr>
                <w:rFonts w:ascii="Times New Roman" w:hAnsi="Times New Roman"/>
                <w:sz w:val="18"/>
              </w:rPr>
              <w:t>-2.30%</w:t>
            </w:r>
          </w:p>
        </w:tc>
        <w:tc>
          <w:tcPr>
            <w:tcW w:type="dxa" w:w="5328"/>
            <w:tcMar>
              <w:top w:w="90" w:type="dxa"/>
              <w:start w:w="100" w:type="dxa"/>
              <w:bottom w:w="90" w:type="dxa"/>
              <w:end w:w="100" w:type="dxa"/>
            </w:tcMar>
            <w:shd w:fill="F7F9FC"/>
            <w:vAlign w:val="center"/>
          </w:tcPr>
          <w:p>
            <w:pPr>
              <w:spacing w:after="0" w:line="240" w:lineRule="auto"/>
              <w:jc w:val="left"/>
            </w:pPr>
            <w:r>
              <w:rPr>
                <w:rFonts w:ascii="Times New Roman" w:hAnsi="Times New Roman"/>
                <w:sz w:val="18"/>
              </w:rPr>
              <w:t>Method v clearly improves on iv</w:t>
            </w:r>
          </w:p>
        </w:tc>
      </w:tr>
      <w:tr>
        <w:trPr>
          <w:cantSplit/>
        </w:trPr>
        <w:tc>
          <w:tcPr>
            <w:tcW w:type="dxa" w:w="1512"/>
            <w:tcMar>
              <w:top w:w="90" w:type="dxa"/>
              <w:start w:w="100" w:type="dxa"/>
              <w:bottom w:w="90" w:type="dxa"/>
              <w:end w:w="100" w:type="dxa"/>
            </w:tcMar>
            <w:vAlign w:val="center"/>
          </w:tcPr>
          <w:p>
            <w:pPr>
              <w:spacing w:after="0" w:line="240" w:lineRule="auto"/>
              <w:jc w:val="left"/>
            </w:pPr>
            <w:r>
              <w:rPr>
                <w:rFonts w:ascii="Times New Roman" w:hAnsi="Times New Roman"/>
                <w:sz w:val="18"/>
              </w:rPr>
              <w:t>v versus ii</w:t>
            </w:r>
          </w:p>
        </w:tc>
        <w:tc>
          <w:tcPr>
            <w:tcW w:type="dxa" w:w="1224"/>
            <w:tcMar>
              <w:top w:w="90" w:type="dxa"/>
              <w:start w:w="100" w:type="dxa"/>
              <w:bottom w:w="90" w:type="dxa"/>
              <w:end w:w="100" w:type="dxa"/>
            </w:tcMar>
            <w:vAlign w:val="center"/>
          </w:tcPr>
          <w:p>
            <w:pPr>
              <w:spacing w:after="0" w:line="240" w:lineRule="auto"/>
              <w:jc w:val="center"/>
            </w:pPr>
            <w:r>
              <w:rPr>
                <w:rFonts w:ascii="Times New Roman" w:hAnsi="Times New Roman"/>
                <w:sz w:val="18"/>
              </w:rPr>
              <w:t>-15.88%</w:t>
            </w:r>
          </w:p>
        </w:tc>
        <w:tc>
          <w:tcPr>
            <w:tcW w:type="dxa" w:w="1224"/>
            <w:tcMar>
              <w:top w:w="90" w:type="dxa"/>
              <w:start w:w="100" w:type="dxa"/>
              <w:bottom w:w="90" w:type="dxa"/>
              <w:end w:w="100" w:type="dxa"/>
            </w:tcMar>
            <w:vAlign w:val="center"/>
          </w:tcPr>
          <w:p>
            <w:pPr>
              <w:spacing w:after="0" w:line="240" w:lineRule="auto"/>
              <w:jc w:val="center"/>
            </w:pPr>
            <w:r>
              <w:rPr>
                <w:rFonts w:ascii="Times New Roman" w:hAnsi="Times New Roman"/>
                <w:sz w:val="18"/>
              </w:rPr>
              <w:t>-15.55%</w:t>
            </w:r>
          </w:p>
        </w:tc>
        <w:tc>
          <w:tcPr>
            <w:tcW w:type="dxa" w:w="1224"/>
            <w:tcMar>
              <w:top w:w="90" w:type="dxa"/>
              <w:start w:w="100" w:type="dxa"/>
              <w:bottom w:w="90" w:type="dxa"/>
              <w:end w:w="100" w:type="dxa"/>
            </w:tcMar>
            <w:vAlign w:val="center"/>
          </w:tcPr>
          <w:p>
            <w:pPr>
              <w:spacing w:after="0" w:line="240" w:lineRule="auto"/>
              <w:jc w:val="center"/>
            </w:pPr>
            <w:r>
              <w:rPr>
                <w:rFonts w:ascii="Times New Roman" w:hAnsi="Times New Roman"/>
                <w:sz w:val="18"/>
              </w:rPr>
              <w:t>-16.13%</w:t>
            </w:r>
          </w:p>
        </w:tc>
        <w:tc>
          <w:tcPr>
            <w:tcW w:type="dxa" w:w="5328"/>
            <w:tcMar>
              <w:top w:w="90" w:type="dxa"/>
              <w:start w:w="100" w:type="dxa"/>
              <w:bottom w:w="90" w:type="dxa"/>
              <w:end w:w="100" w:type="dxa"/>
            </w:tcMar>
            <w:vAlign w:val="center"/>
          </w:tcPr>
          <w:p>
            <w:pPr>
              <w:spacing w:after="0" w:line="240" w:lineRule="auto"/>
              <w:jc w:val="left"/>
            </w:pPr>
            <w:r>
              <w:rPr>
                <w:rFonts w:ascii="Times New Roman" w:hAnsi="Times New Roman"/>
                <w:sz w:val="18"/>
              </w:rPr>
              <w:t>Method v has the largest advantage over ii</w:t>
            </w:r>
          </w:p>
        </w:tc>
      </w:tr>
    </w:tbl>
    <w:p>
      <w:pPr>
        <w:pStyle w:val="NormalWeb"/>
        <w:spacing w:after="20"/>
      </w:pPr>
    </w:p>
    <w:p>
      <w:pPr>
        <w:pStyle w:val="NormalWeb"/>
      </w:pPr>
      <w:r>
        <w:t>Negative changes indicate lower error for the first method in the comparison. These global paired results give the same ordering for each metric: v, iii, iv, i, and ii. The difference between v and iii is statistically detectable because of the large paired sample, but it is small in practical terms.</w:t>
      </w:r>
    </w:p>
    <w:p>
      <w:pPr>
        <w:pStyle w:val="Heading2"/>
        <w:keepNext/>
      </w:pPr>
      <w:r>
        <w:t>3.2 Conditional estimated marginal means</w:t>
      </w:r>
    </w:p>
    <w:p>
      <w:pPr>
        <w:pStyle w:val="NormalWeb"/>
      </w:pPr>
      <w:r>
        <w:t>The conditional EMMs show why the global ordering should not be interpreted as universal dominance. Code A evaluated a Negative binomial condition with G = 4, theta_true = 2, theta_CV = 0.6, sigma = 1, mean sample size = 100, and mean p1 and p2 values. At this high-dispersion condition, v and i were statistically indistinguishable and had the lowest errors for all metrics; method ii was worst. Code B used a Lognormal condition with G = 4, theta_true = 2, theta_CV = 0.2, sigma = 0.25, and mean sample size = 25. At this low-dispersion condition, ii had the smallest RMSE, while v and iii led L1 and iii led Linf.</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628"/>
        <w:gridCol w:w="2628"/>
        <w:gridCol w:w="2628"/>
        <w:gridCol w:w="2628"/>
      </w:tblGrid>
      <w:tr>
        <w:trPr>
          <w:tblHeader w:val="true"/>
          <w:cantSplit/>
        </w:trPr>
        <w:tc>
          <w:tcPr>
            <w:tcW w:type="dxa" w:w="3384"/>
            <w:shd w:fill="D9E2F3"/>
            <w:tcMar>
              <w:top w:w="90" w:type="dxa"/>
              <w:start w:w="100" w:type="dxa"/>
              <w:bottom w:w="90" w:type="dxa"/>
              <w:end w:w="100" w:type="dxa"/>
            </w:tcMar>
            <w:vAlign w:val="center"/>
          </w:tcPr>
          <w:p>
            <w:pPr>
              <w:spacing w:after="0"/>
              <w:jc w:val="center"/>
            </w:pPr>
            <w:r>
              <w:rPr>
                <w:rFonts w:ascii="Times New Roman" w:hAnsi="Times New Roman"/>
                <w:b/>
                <w:color w:val="000000"/>
                <w:sz w:val="18"/>
              </w:rPr>
              <w:t>Analysis and condition</w:t>
            </w:r>
          </w:p>
        </w:tc>
        <w:tc>
          <w:tcPr>
            <w:tcW w:type="dxa" w:w="2376"/>
            <w:shd w:fill="D9E2F3"/>
            <w:tcMar>
              <w:top w:w="90" w:type="dxa"/>
              <w:start w:w="100" w:type="dxa"/>
              <w:bottom w:w="90" w:type="dxa"/>
              <w:end w:w="100" w:type="dxa"/>
            </w:tcMar>
            <w:vAlign w:val="center"/>
          </w:tcPr>
          <w:p>
            <w:pPr>
              <w:spacing w:after="0"/>
              <w:jc w:val="center"/>
            </w:pPr>
            <w:r>
              <w:rPr>
                <w:rFonts w:ascii="Times New Roman" w:hAnsi="Times New Roman"/>
                <w:b/>
                <w:color w:val="000000"/>
                <w:sz w:val="18"/>
              </w:rPr>
              <w:t>RMSE order</w:t>
            </w:r>
          </w:p>
        </w:tc>
        <w:tc>
          <w:tcPr>
            <w:tcW w:type="dxa" w:w="2376"/>
            <w:shd w:fill="D9E2F3"/>
            <w:tcMar>
              <w:top w:w="90" w:type="dxa"/>
              <w:start w:w="100" w:type="dxa"/>
              <w:bottom w:w="90" w:type="dxa"/>
              <w:end w:w="100" w:type="dxa"/>
            </w:tcMar>
            <w:vAlign w:val="center"/>
          </w:tcPr>
          <w:p>
            <w:pPr>
              <w:spacing w:after="0"/>
              <w:jc w:val="center"/>
            </w:pPr>
            <w:r>
              <w:rPr>
                <w:rFonts w:ascii="Times New Roman" w:hAnsi="Times New Roman"/>
                <w:b/>
                <w:color w:val="000000"/>
                <w:sz w:val="18"/>
              </w:rPr>
              <w:t>L1 order</w:t>
            </w:r>
          </w:p>
        </w:tc>
        <w:tc>
          <w:tcPr>
            <w:tcW w:type="dxa" w:w="2376"/>
            <w:shd w:fill="D9E2F3"/>
            <w:tcMar>
              <w:top w:w="90" w:type="dxa"/>
              <w:start w:w="100" w:type="dxa"/>
              <w:bottom w:w="90" w:type="dxa"/>
              <w:end w:w="100" w:type="dxa"/>
            </w:tcMar>
            <w:vAlign w:val="center"/>
          </w:tcPr>
          <w:p>
            <w:pPr>
              <w:spacing w:after="0"/>
              <w:jc w:val="center"/>
            </w:pPr>
            <w:r>
              <w:rPr>
                <w:rFonts w:ascii="Times New Roman" w:hAnsi="Times New Roman"/>
                <w:b/>
                <w:color w:val="000000"/>
                <w:sz w:val="18"/>
              </w:rPr>
              <w:t>Linf order</w:t>
            </w:r>
          </w:p>
        </w:tc>
      </w:tr>
      <w:tr>
        <w:trPr>
          <w:cantSplit/>
        </w:trPr>
        <w:tc>
          <w:tcPr>
            <w:tcW w:type="dxa" w:w="3384"/>
            <w:tcMar>
              <w:top w:w="90" w:type="dxa"/>
              <w:start w:w="100" w:type="dxa"/>
              <w:bottom w:w="90" w:type="dxa"/>
              <w:end w:w="100" w:type="dxa"/>
            </w:tcMar>
            <w:vAlign w:val="center"/>
          </w:tcPr>
          <w:p>
            <w:pPr>
              <w:spacing w:after="0" w:line="240" w:lineRule="auto"/>
              <w:jc w:val="left"/>
            </w:pPr>
            <w:r>
              <w:rPr>
                <w:rFonts w:ascii="Times New Roman" w:hAnsi="Times New Roman"/>
                <w:sz w:val="18"/>
              </w:rPr>
              <w:t>Code A high sigma reference</w:t>
            </w:r>
          </w:p>
        </w:tc>
        <w:tc>
          <w:tcPr>
            <w:tcW w:type="dxa" w:w="2376"/>
            <w:tcMar>
              <w:top w:w="90" w:type="dxa"/>
              <w:start w:w="100" w:type="dxa"/>
              <w:bottom w:w="90" w:type="dxa"/>
              <w:end w:w="100" w:type="dxa"/>
            </w:tcMar>
            <w:vAlign w:val="center"/>
          </w:tcPr>
          <w:p>
            <w:pPr>
              <w:spacing w:after="0" w:line="240" w:lineRule="auto"/>
              <w:jc w:val="left"/>
            </w:pPr>
            <w:r>
              <w:rPr>
                <w:rFonts w:ascii="Times New Roman" w:hAnsi="Times New Roman"/>
                <w:sz w:val="18"/>
              </w:rPr>
              <w:t>v = i &lt; iv &lt; iii &lt; ii</w:t>
            </w:r>
          </w:p>
        </w:tc>
        <w:tc>
          <w:tcPr>
            <w:tcW w:type="dxa" w:w="2376"/>
            <w:tcMar>
              <w:top w:w="90" w:type="dxa"/>
              <w:start w:w="100" w:type="dxa"/>
              <w:bottom w:w="90" w:type="dxa"/>
              <w:end w:w="100" w:type="dxa"/>
            </w:tcMar>
            <w:vAlign w:val="center"/>
          </w:tcPr>
          <w:p>
            <w:pPr>
              <w:spacing w:after="0" w:line="240" w:lineRule="auto"/>
              <w:jc w:val="left"/>
            </w:pPr>
            <w:r>
              <w:rPr>
                <w:rFonts w:ascii="Times New Roman" w:hAnsi="Times New Roman"/>
                <w:sz w:val="18"/>
              </w:rPr>
              <w:t>v = i &lt; iv = iii &lt; ii</w:t>
            </w:r>
          </w:p>
        </w:tc>
        <w:tc>
          <w:tcPr>
            <w:tcW w:type="dxa" w:w="2376"/>
            <w:tcMar>
              <w:top w:w="90" w:type="dxa"/>
              <w:start w:w="100" w:type="dxa"/>
              <w:bottom w:w="90" w:type="dxa"/>
              <w:end w:w="100" w:type="dxa"/>
            </w:tcMar>
            <w:vAlign w:val="center"/>
          </w:tcPr>
          <w:p>
            <w:pPr>
              <w:spacing w:after="0" w:line="240" w:lineRule="auto"/>
              <w:jc w:val="left"/>
            </w:pPr>
            <w:r>
              <w:rPr>
                <w:rFonts w:ascii="Times New Roman" w:hAnsi="Times New Roman"/>
                <w:sz w:val="18"/>
              </w:rPr>
              <w:t>v = i &lt; iv &lt; iii &lt; ii</w:t>
            </w:r>
          </w:p>
        </w:tc>
      </w:tr>
      <w:tr>
        <w:trPr>
          <w:cantSplit/>
        </w:trPr>
        <w:tc>
          <w:tcPr>
            <w:tcW w:type="dxa" w:w="3384"/>
            <w:tcMar>
              <w:top w:w="90" w:type="dxa"/>
              <w:start w:w="100" w:type="dxa"/>
              <w:bottom w:w="90" w:type="dxa"/>
              <w:end w:w="100" w:type="dxa"/>
            </w:tcMar>
            <w:shd w:fill="F7F9FC"/>
            <w:vAlign w:val="center"/>
          </w:tcPr>
          <w:p>
            <w:pPr>
              <w:spacing w:after="0" w:line="240" w:lineRule="auto"/>
              <w:jc w:val="left"/>
            </w:pPr>
            <w:r>
              <w:rPr>
                <w:rFonts w:ascii="Times New Roman" w:hAnsi="Times New Roman"/>
                <w:sz w:val="18"/>
              </w:rPr>
              <w:t>Code B low sigma reference</w:t>
            </w:r>
          </w:p>
        </w:tc>
        <w:tc>
          <w:tcPr>
            <w:tcW w:type="dxa" w:w="2376"/>
            <w:tcMar>
              <w:top w:w="90" w:type="dxa"/>
              <w:start w:w="100" w:type="dxa"/>
              <w:bottom w:w="90" w:type="dxa"/>
              <w:end w:w="100" w:type="dxa"/>
            </w:tcMar>
            <w:shd w:fill="F7F9FC"/>
            <w:vAlign w:val="center"/>
          </w:tcPr>
          <w:p>
            <w:pPr>
              <w:spacing w:after="0" w:line="240" w:lineRule="auto"/>
              <w:jc w:val="left"/>
            </w:pPr>
            <w:r>
              <w:rPr>
                <w:rFonts w:ascii="Times New Roman" w:hAnsi="Times New Roman"/>
                <w:sz w:val="18"/>
              </w:rPr>
              <w:t>ii &lt; iii &lt; v = iv &lt; i</w:t>
            </w:r>
          </w:p>
        </w:tc>
        <w:tc>
          <w:tcPr>
            <w:tcW w:type="dxa" w:w="2376"/>
            <w:tcMar>
              <w:top w:w="90" w:type="dxa"/>
              <w:start w:w="100" w:type="dxa"/>
              <w:bottom w:w="90" w:type="dxa"/>
              <w:end w:w="100" w:type="dxa"/>
            </w:tcMar>
            <w:shd w:fill="F7F9FC"/>
            <w:vAlign w:val="center"/>
          </w:tcPr>
          <w:p>
            <w:pPr>
              <w:spacing w:after="0" w:line="240" w:lineRule="auto"/>
              <w:jc w:val="left"/>
            </w:pPr>
            <w:r>
              <w:rPr>
                <w:rFonts w:ascii="Times New Roman" w:hAnsi="Times New Roman"/>
                <w:sz w:val="18"/>
              </w:rPr>
              <w:t>v = iii &lt; iv &lt; i &lt; ii</w:t>
            </w:r>
          </w:p>
        </w:tc>
        <w:tc>
          <w:tcPr>
            <w:tcW w:type="dxa" w:w="2376"/>
            <w:tcMar>
              <w:top w:w="90" w:type="dxa"/>
              <w:start w:w="100" w:type="dxa"/>
              <w:bottom w:w="90" w:type="dxa"/>
              <w:end w:w="100" w:type="dxa"/>
            </w:tcMar>
            <w:shd w:fill="F7F9FC"/>
            <w:vAlign w:val="center"/>
          </w:tcPr>
          <w:p>
            <w:pPr>
              <w:spacing w:after="0" w:line="240" w:lineRule="auto"/>
              <w:jc w:val="left"/>
            </w:pPr>
            <w:r>
              <w:rPr>
                <w:rFonts w:ascii="Times New Roman" w:hAnsi="Times New Roman"/>
                <w:sz w:val="18"/>
              </w:rPr>
              <w:t>iii = v = iv = ii &lt; i</w:t>
            </w:r>
          </w:p>
        </w:tc>
      </w:tr>
      <w:tr>
        <w:trPr>
          <w:cantSplit/>
        </w:trPr>
        <w:tc>
          <w:tcPr>
            <w:tcW w:type="dxa" w:w="3384"/>
            <w:tcMar>
              <w:top w:w="90" w:type="dxa"/>
              <w:start w:w="100" w:type="dxa"/>
              <w:bottom w:w="90" w:type="dxa"/>
              <w:end w:w="100" w:type="dxa"/>
            </w:tcMar>
            <w:vAlign w:val="center"/>
          </w:tcPr>
          <w:p>
            <w:pPr>
              <w:spacing w:after="0" w:line="240" w:lineRule="auto"/>
              <w:jc w:val="left"/>
            </w:pPr>
            <w:r>
              <w:rPr>
                <w:rFonts w:ascii="Times New Roman" w:hAnsi="Times New Roman"/>
                <w:sz w:val="18"/>
              </w:rPr>
              <w:t>Code C1 matched global mean</w:t>
            </w:r>
          </w:p>
        </w:tc>
        <w:tc>
          <w:tcPr>
            <w:tcW w:type="dxa" w:w="2376"/>
            <w:tcMar>
              <w:top w:w="90" w:type="dxa"/>
              <w:start w:w="100" w:type="dxa"/>
              <w:bottom w:w="90" w:type="dxa"/>
              <w:end w:w="100" w:type="dxa"/>
            </w:tcMar>
            <w:vAlign w:val="center"/>
          </w:tcPr>
          <w:p>
            <w:pPr>
              <w:spacing w:after="0" w:line="240" w:lineRule="auto"/>
              <w:jc w:val="left"/>
            </w:pPr>
            <w:r>
              <w:rPr>
                <w:rFonts w:ascii="Times New Roman" w:hAnsi="Times New Roman"/>
                <w:sz w:val="18"/>
              </w:rPr>
              <w:t>v &lt; iii &lt; iv &lt; i &lt; ii</w:t>
            </w:r>
          </w:p>
        </w:tc>
        <w:tc>
          <w:tcPr>
            <w:tcW w:type="dxa" w:w="2376"/>
            <w:tcMar>
              <w:top w:w="90" w:type="dxa"/>
              <w:start w:w="100" w:type="dxa"/>
              <w:bottom w:w="90" w:type="dxa"/>
              <w:end w:w="100" w:type="dxa"/>
            </w:tcMar>
            <w:vAlign w:val="center"/>
          </w:tcPr>
          <w:p>
            <w:pPr>
              <w:spacing w:after="0" w:line="240" w:lineRule="auto"/>
              <w:jc w:val="left"/>
            </w:pPr>
            <w:r>
              <w:rPr>
                <w:rFonts w:ascii="Times New Roman" w:hAnsi="Times New Roman"/>
                <w:sz w:val="18"/>
              </w:rPr>
              <w:t>v &lt; iii &lt; iv &lt; i &lt; ii</w:t>
            </w:r>
          </w:p>
        </w:tc>
        <w:tc>
          <w:tcPr>
            <w:tcW w:type="dxa" w:w="2376"/>
            <w:tcMar>
              <w:top w:w="90" w:type="dxa"/>
              <w:start w:w="100" w:type="dxa"/>
              <w:bottom w:w="90" w:type="dxa"/>
              <w:end w:w="100" w:type="dxa"/>
            </w:tcMar>
            <w:vAlign w:val="center"/>
          </w:tcPr>
          <w:p>
            <w:pPr>
              <w:spacing w:after="0" w:line="240" w:lineRule="auto"/>
              <w:jc w:val="left"/>
            </w:pPr>
            <w:r>
              <w:rPr>
                <w:rFonts w:ascii="Times New Roman" w:hAnsi="Times New Roman"/>
                <w:sz w:val="18"/>
              </w:rPr>
              <w:t>v &lt; iii &lt; iv &lt; i &lt; ii</w:t>
            </w:r>
          </w:p>
        </w:tc>
      </w:tr>
    </w:tbl>
    <w:p>
      <w:pPr>
        <w:pStyle w:val="NormalWeb"/>
        <w:spacing w:after="20"/>
      </w:pPr>
    </w:p>
    <w:p>
      <w:pPr>
        <w:pStyle w:val="NormalWeb"/>
      </w:pPr>
      <w:r>
        <w:t>The conditional reversals are scientifically meaningful rather than contradictory. They agree with the strong method by sigma interaction and show that method ii is specialized for some low-dispersion RMSE settings but performs poorly when results are averaged across the full design. They also show that method i can be competitive under the high-sigma reference condition even though it ranks fourth globally.</w:t>
      </w:r>
    </w:p>
    <w:p>
      <w:pPr>
        <w:pStyle w:val="Heading2"/>
        <w:keepNext/>
      </w:pPr>
      <w:r>
        <w:t>3.3 Integrated method ranking</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628"/>
        <w:gridCol w:w="2628"/>
        <w:gridCol w:w="2628"/>
        <w:gridCol w:w="2628"/>
      </w:tblGrid>
      <w:tr>
        <w:trPr>
          <w:tblHeader w:val="true"/>
          <w:cantSplit/>
        </w:trPr>
        <w:tc>
          <w:tcPr>
            <w:tcW w:type="dxa" w:w="648"/>
            <w:shd w:fill="D9E2F3"/>
            <w:tcMar>
              <w:top w:w="90" w:type="dxa"/>
              <w:start w:w="100" w:type="dxa"/>
              <w:bottom w:w="90" w:type="dxa"/>
              <w:end w:w="100" w:type="dxa"/>
            </w:tcMar>
            <w:vAlign w:val="center"/>
          </w:tcPr>
          <w:p>
            <w:pPr>
              <w:spacing w:after="0"/>
              <w:jc w:val="center"/>
            </w:pPr>
            <w:r>
              <w:rPr>
                <w:rFonts w:ascii="Times New Roman" w:hAnsi="Times New Roman"/>
                <w:b/>
                <w:color w:val="000000"/>
                <w:sz w:val="17"/>
              </w:rPr>
              <w:t>Rank</w:t>
            </w:r>
          </w:p>
        </w:tc>
        <w:tc>
          <w:tcPr>
            <w:tcW w:type="dxa" w:w="792"/>
            <w:shd w:fill="D9E2F3"/>
            <w:tcMar>
              <w:top w:w="90" w:type="dxa"/>
              <w:start w:w="100" w:type="dxa"/>
              <w:bottom w:w="90" w:type="dxa"/>
              <w:end w:w="100" w:type="dxa"/>
            </w:tcMar>
            <w:vAlign w:val="center"/>
          </w:tcPr>
          <w:p>
            <w:pPr>
              <w:spacing w:after="0"/>
              <w:jc w:val="center"/>
            </w:pPr>
            <w:r>
              <w:rPr>
                <w:rFonts w:ascii="Times New Roman" w:hAnsi="Times New Roman"/>
                <w:b/>
                <w:color w:val="000000"/>
                <w:sz w:val="17"/>
              </w:rPr>
              <w:t>Method</w:t>
            </w:r>
          </w:p>
        </w:tc>
        <w:tc>
          <w:tcPr>
            <w:tcW w:type="dxa" w:w="4536"/>
            <w:shd w:fill="D9E2F3"/>
            <w:tcMar>
              <w:top w:w="90" w:type="dxa"/>
              <w:start w:w="100" w:type="dxa"/>
              <w:bottom w:w="90" w:type="dxa"/>
              <w:end w:w="100" w:type="dxa"/>
            </w:tcMar>
            <w:vAlign w:val="center"/>
          </w:tcPr>
          <w:p>
            <w:pPr>
              <w:spacing w:after="0"/>
              <w:jc w:val="center"/>
            </w:pPr>
            <w:r>
              <w:rPr>
                <w:rFonts w:ascii="Times New Roman" w:hAnsi="Times New Roman"/>
                <w:b/>
                <w:color w:val="000000"/>
                <w:sz w:val="17"/>
              </w:rPr>
              <w:t>Evidence supporting rank</w:t>
            </w:r>
          </w:p>
        </w:tc>
        <w:tc>
          <w:tcPr>
            <w:tcW w:type="dxa" w:w="4536"/>
            <w:shd w:fill="D9E2F3"/>
            <w:tcMar>
              <w:top w:w="90" w:type="dxa"/>
              <w:start w:w="100" w:type="dxa"/>
              <w:bottom w:w="90" w:type="dxa"/>
              <w:end w:w="100" w:type="dxa"/>
            </w:tcMar>
            <w:vAlign w:val="center"/>
          </w:tcPr>
          <w:p>
            <w:pPr>
              <w:spacing w:after="0"/>
              <w:jc w:val="center"/>
            </w:pPr>
            <w:r>
              <w:rPr>
                <w:rFonts w:ascii="Times New Roman" w:hAnsi="Times New Roman"/>
                <w:b/>
                <w:color w:val="000000"/>
                <w:sz w:val="17"/>
              </w:rPr>
              <w:t>Qualification</w:t>
            </w:r>
          </w:p>
        </w:tc>
      </w:tr>
      <w:tr>
        <w:trPr>
          <w:cantSplit/>
        </w:trPr>
        <w:tc>
          <w:tcPr>
            <w:tcW w:type="dxa" w:w="648"/>
            <w:tcMar>
              <w:top w:w="90" w:type="dxa"/>
              <w:start w:w="100" w:type="dxa"/>
              <w:bottom w:w="90" w:type="dxa"/>
              <w:end w:w="100" w:type="dxa"/>
            </w:tcMar>
            <w:vAlign w:val="center"/>
          </w:tcPr>
          <w:p>
            <w:pPr>
              <w:spacing w:after="0" w:line="240" w:lineRule="auto"/>
              <w:jc w:val="center"/>
            </w:pPr>
            <w:r>
              <w:rPr>
                <w:rFonts w:ascii="Times New Roman" w:hAnsi="Times New Roman"/>
                <w:sz w:val="17"/>
              </w:rPr>
              <w:t>1</w:t>
            </w:r>
          </w:p>
        </w:tc>
        <w:tc>
          <w:tcPr>
            <w:tcW w:type="dxa" w:w="792"/>
            <w:tcMar>
              <w:top w:w="90" w:type="dxa"/>
              <w:start w:w="100" w:type="dxa"/>
              <w:bottom w:w="90" w:type="dxa"/>
              <w:end w:w="100" w:type="dxa"/>
            </w:tcMar>
            <w:vAlign w:val="center"/>
          </w:tcPr>
          <w:p>
            <w:pPr>
              <w:spacing w:after="0" w:line="240" w:lineRule="auto"/>
              <w:jc w:val="center"/>
            </w:pPr>
            <w:r>
              <w:rPr>
                <w:rFonts w:ascii="Times New Roman" w:hAnsi="Times New Roman"/>
                <w:sz w:val="17"/>
              </w:rPr>
              <w:t>v</w:t>
            </w:r>
          </w:p>
        </w:tc>
        <w:tc>
          <w:tcPr>
            <w:tcW w:type="dxa" w:w="4536"/>
            <w:tcMar>
              <w:top w:w="90" w:type="dxa"/>
              <w:start w:w="100" w:type="dxa"/>
              <w:bottom w:w="90" w:type="dxa"/>
              <w:end w:w="100" w:type="dxa"/>
            </w:tcMar>
            <w:vAlign w:val="center"/>
          </w:tcPr>
          <w:p>
            <w:pPr>
              <w:spacing w:after="0" w:line="240" w:lineRule="auto"/>
              <w:jc w:val="left"/>
            </w:pPr>
            <w:r>
              <w:rPr>
                <w:rFonts w:ascii="Times New Roman" w:hAnsi="Times New Roman"/>
                <w:sz w:val="17"/>
              </w:rPr>
              <w:t>Lowest global paired RMSE, L1, and Linf; 15.5% to 16.1% lower error than ii; top or near top in A, B, and E</w:t>
            </w:r>
          </w:p>
        </w:tc>
        <w:tc>
          <w:tcPr>
            <w:tcW w:type="dxa" w:w="4536"/>
            <w:tcMar>
              <w:top w:w="90" w:type="dxa"/>
              <w:start w:w="100" w:type="dxa"/>
              <w:bottom w:w="90" w:type="dxa"/>
              <w:end w:w="100" w:type="dxa"/>
            </w:tcMar>
            <w:vAlign w:val="center"/>
          </w:tcPr>
          <w:p>
            <w:pPr>
              <w:spacing w:after="0" w:line="240" w:lineRule="auto"/>
              <w:jc w:val="left"/>
            </w:pPr>
            <w:r>
              <w:rPr>
                <w:rFonts w:ascii="Times New Roman" w:hAnsi="Times New Roman"/>
                <w:sz w:val="17"/>
              </w:rPr>
              <w:t>Only 0.39% to 0.61% better than iii globally; advantage varies strongly with sigma and simplex location</w:t>
            </w:r>
          </w:p>
        </w:tc>
      </w:tr>
      <w:tr>
        <w:trPr>
          <w:cantSplit/>
        </w:trPr>
        <w:tc>
          <w:tcPr>
            <w:tcW w:type="dxa" w:w="648"/>
            <w:tcMar>
              <w:top w:w="90" w:type="dxa"/>
              <w:start w:w="100" w:type="dxa"/>
              <w:bottom w:w="90" w:type="dxa"/>
              <w:end w:w="100" w:type="dxa"/>
            </w:tcMar>
            <w:shd w:fill="F7F9FC"/>
            <w:vAlign w:val="center"/>
          </w:tcPr>
          <w:p>
            <w:pPr>
              <w:spacing w:after="0" w:line="240" w:lineRule="auto"/>
              <w:jc w:val="center"/>
            </w:pPr>
            <w:r>
              <w:rPr>
                <w:rFonts w:ascii="Times New Roman" w:hAnsi="Times New Roman"/>
                <w:sz w:val="17"/>
              </w:rPr>
              <w:t>2</w:t>
            </w:r>
          </w:p>
        </w:tc>
        <w:tc>
          <w:tcPr>
            <w:tcW w:type="dxa" w:w="792"/>
            <w:tcMar>
              <w:top w:w="90" w:type="dxa"/>
              <w:start w:w="100" w:type="dxa"/>
              <w:bottom w:w="90" w:type="dxa"/>
              <w:end w:w="100" w:type="dxa"/>
            </w:tcMar>
            <w:shd w:fill="F7F9FC"/>
            <w:vAlign w:val="center"/>
          </w:tcPr>
          <w:p>
            <w:pPr>
              <w:spacing w:after="0" w:line="240" w:lineRule="auto"/>
              <w:jc w:val="center"/>
            </w:pPr>
            <w:r>
              <w:rPr>
                <w:rFonts w:ascii="Times New Roman" w:hAnsi="Times New Roman"/>
                <w:sz w:val="17"/>
              </w:rPr>
              <w:t>iii</w:t>
            </w:r>
          </w:p>
        </w:tc>
        <w:tc>
          <w:tcPr>
            <w:tcW w:type="dxa" w:w="4536"/>
            <w:tcMar>
              <w:top w:w="90" w:type="dxa"/>
              <w:start w:w="100" w:type="dxa"/>
              <w:bottom w:w="90" w:type="dxa"/>
              <w:end w:w="100" w:type="dxa"/>
            </w:tcMar>
            <w:shd w:fill="F7F9FC"/>
            <w:vAlign w:val="center"/>
          </w:tcPr>
          <w:p>
            <w:pPr>
              <w:spacing w:after="0" w:line="240" w:lineRule="auto"/>
              <w:jc w:val="left"/>
            </w:pPr>
            <w:r>
              <w:rPr>
                <w:rFonts w:ascii="Times New Roman" w:hAnsi="Times New Roman"/>
                <w:sz w:val="17"/>
              </w:rPr>
              <w:t>Second globally on every metric; tied with v in the mixed-model average; best GAM-adjusted RMSE and Linf coefficients</w:t>
            </w:r>
          </w:p>
        </w:tc>
        <w:tc>
          <w:tcPr>
            <w:tcW w:type="dxa" w:w="4536"/>
            <w:tcMar>
              <w:top w:w="90" w:type="dxa"/>
              <w:start w:w="100" w:type="dxa"/>
              <w:bottom w:w="90" w:type="dxa"/>
              <w:end w:w="100" w:type="dxa"/>
            </w:tcMar>
            <w:shd w:fill="F7F9FC"/>
            <w:vAlign w:val="center"/>
          </w:tcPr>
          <w:p>
            <w:pPr>
              <w:spacing w:after="0" w:line="240" w:lineRule="auto"/>
              <w:jc w:val="left"/>
            </w:pPr>
            <w:r>
              <w:rPr>
                <w:rFonts w:ascii="Times New Roman" w:hAnsi="Times New Roman"/>
                <w:sz w:val="17"/>
              </w:rPr>
              <w:t>Can be displaced by v or condition-specific competitors</w:t>
            </w:r>
          </w:p>
        </w:tc>
      </w:tr>
      <w:tr>
        <w:trPr>
          <w:cantSplit/>
        </w:trPr>
        <w:tc>
          <w:tcPr>
            <w:tcW w:type="dxa" w:w="648"/>
            <w:tcMar>
              <w:top w:w="90" w:type="dxa"/>
              <w:start w:w="100" w:type="dxa"/>
              <w:bottom w:w="90" w:type="dxa"/>
              <w:end w:w="100" w:type="dxa"/>
            </w:tcMar>
            <w:vAlign w:val="center"/>
          </w:tcPr>
          <w:p>
            <w:pPr>
              <w:spacing w:after="0" w:line="240" w:lineRule="auto"/>
              <w:jc w:val="center"/>
            </w:pPr>
            <w:r>
              <w:rPr>
                <w:rFonts w:ascii="Times New Roman" w:hAnsi="Times New Roman"/>
                <w:sz w:val="17"/>
              </w:rPr>
              <w:t>3</w:t>
            </w:r>
          </w:p>
        </w:tc>
        <w:tc>
          <w:tcPr>
            <w:tcW w:type="dxa" w:w="792"/>
            <w:tcMar>
              <w:top w:w="90" w:type="dxa"/>
              <w:start w:w="100" w:type="dxa"/>
              <w:bottom w:w="90" w:type="dxa"/>
              <w:end w:w="100" w:type="dxa"/>
            </w:tcMar>
            <w:vAlign w:val="center"/>
          </w:tcPr>
          <w:p>
            <w:pPr>
              <w:spacing w:after="0" w:line="240" w:lineRule="auto"/>
              <w:jc w:val="center"/>
            </w:pPr>
            <w:r>
              <w:rPr>
                <w:rFonts w:ascii="Times New Roman" w:hAnsi="Times New Roman"/>
                <w:sz w:val="17"/>
              </w:rPr>
              <w:t>iv</w:t>
            </w:r>
          </w:p>
        </w:tc>
        <w:tc>
          <w:tcPr>
            <w:tcW w:type="dxa" w:w="4536"/>
            <w:tcMar>
              <w:top w:w="90" w:type="dxa"/>
              <w:start w:w="100" w:type="dxa"/>
              <w:bottom w:w="90" w:type="dxa"/>
              <w:end w:w="100" w:type="dxa"/>
            </w:tcMar>
            <w:vAlign w:val="center"/>
          </w:tcPr>
          <w:p>
            <w:pPr>
              <w:spacing w:after="0" w:line="240" w:lineRule="auto"/>
              <w:jc w:val="left"/>
            </w:pPr>
            <w:r>
              <w:rPr>
                <w:rFonts w:ascii="Times New Roman" w:hAnsi="Times New Roman"/>
                <w:sz w:val="17"/>
              </w:rPr>
              <w:t>Lower global error than i and ii on every metric; often close to the leading pair</w:t>
            </w:r>
          </w:p>
        </w:tc>
        <w:tc>
          <w:tcPr>
            <w:tcW w:type="dxa" w:w="4536"/>
            <w:tcMar>
              <w:top w:w="90" w:type="dxa"/>
              <w:start w:w="100" w:type="dxa"/>
              <w:bottom w:w="90" w:type="dxa"/>
              <w:end w:w="100" w:type="dxa"/>
            </w:tcMar>
            <w:vAlign w:val="center"/>
          </w:tcPr>
          <w:p>
            <w:pPr>
              <w:spacing w:after="0" w:line="240" w:lineRule="auto"/>
              <w:jc w:val="left"/>
            </w:pPr>
            <w:r>
              <w:rPr>
                <w:rFonts w:ascii="Times New Roman" w:hAnsi="Times New Roman"/>
                <w:sz w:val="17"/>
              </w:rPr>
              <w:t>Consistently behind v and iii in the global paired results; relative performance varies with theta_true, G, and sample size</w:t>
            </w:r>
          </w:p>
        </w:tc>
      </w:tr>
      <w:tr>
        <w:trPr>
          <w:cantSplit/>
        </w:trPr>
        <w:tc>
          <w:tcPr>
            <w:tcW w:type="dxa" w:w="648"/>
            <w:tcMar>
              <w:top w:w="90" w:type="dxa"/>
              <w:start w:w="100" w:type="dxa"/>
              <w:bottom w:w="90" w:type="dxa"/>
              <w:end w:w="100" w:type="dxa"/>
            </w:tcMar>
            <w:shd w:fill="F7F9FC"/>
            <w:vAlign w:val="center"/>
          </w:tcPr>
          <w:p>
            <w:pPr>
              <w:spacing w:after="0" w:line="240" w:lineRule="auto"/>
              <w:jc w:val="center"/>
            </w:pPr>
            <w:r>
              <w:rPr>
                <w:rFonts w:ascii="Times New Roman" w:hAnsi="Times New Roman"/>
                <w:sz w:val="17"/>
              </w:rPr>
              <w:t>4</w:t>
            </w:r>
          </w:p>
        </w:tc>
        <w:tc>
          <w:tcPr>
            <w:tcW w:type="dxa" w:w="792"/>
            <w:tcMar>
              <w:top w:w="90" w:type="dxa"/>
              <w:start w:w="100" w:type="dxa"/>
              <w:bottom w:w="90" w:type="dxa"/>
              <w:end w:w="100" w:type="dxa"/>
            </w:tcMar>
            <w:shd w:fill="F7F9FC"/>
            <w:vAlign w:val="center"/>
          </w:tcPr>
          <w:p>
            <w:pPr>
              <w:spacing w:after="0" w:line="240" w:lineRule="auto"/>
              <w:jc w:val="center"/>
            </w:pPr>
            <w:r>
              <w:rPr>
                <w:rFonts w:ascii="Times New Roman" w:hAnsi="Times New Roman"/>
                <w:sz w:val="17"/>
              </w:rPr>
              <w:t>i</w:t>
            </w:r>
          </w:p>
        </w:tc>
        <w:tc>
          <w:tcPr>
            <w:tcW w:type="dxa" w:w="4536"/>
            <w:tcMar>
              <w:top w:w="90" w:type="dxa"/>
              <w:start w:w="100" w:type="dxa"/>
              <w:bottom w:w="90" w:type="dxa"/>
              <w:end w:w="100" w:type="dxa"/>
            </w:tcMar>
            <w:shd w:fill="F7F9FC"/>
            <w:vAlign w:val="center"/>
          </w:tcPr>
          <w:p>
            <w:pPr>
              <w:spacing w:after="0" w:line="240" w:lineRule="auto"/>
              <w:jc w:val="left"/>
            </w:pPr>
            <w:r>
              <w:rPr>
                <w:rFonts w:ascii="Times New Roman" w:hAnsi="Times New Roman"/>
                <w:sz w:val="17"/>
              </w:rPr>
              <w:t>Valid intermediate benchmark and statistically tied with v at the Code A high-sigma reference condition</w:t>
            </w:r>
          </w:p>
        </w:tc>
        <w:tc>
          <w:tcPr>
            <w:tcW w:type="dxa" w:w="4536"/>
            <w:tcMar>
              <w:top w:w="90" w:type="dxa"/>
              <w:start w:w="100" w:type="dxa"/>
              <w:bottom w:w="90" w:type="dxa"/>
              <w:end w:w="100" w:type="dxa"/>
            </w:tcMar>
            <w:shd w:fill="F7F9FC"/>
            <w:vAlign w:val="center"/>
          </w:tcPr>
          <w:p>
            <w:pPr>
              <w:spacing w:after="0" w:line="240" w:lineRule="auto"/>
              <w:jc w:val="left"/>
            </w:pPr>
            <w:r>
              <w:rPr>
                <w:rFonts w:ascii="Times New Roman" w:hAnsi="Times New Roman"/>
                <w:sz w:val="17"/>
              </w:rPr>
              <w:t>Global paired errors exceed iii, iv, and v; Code B places it last at the low-sigma reference condition</w:t>
            </w:r>
          </w:p>
        </w:tc>
      </w:tr>
      <w:tr>
        <w:trPr>
          <w:cantSplit/>
        </w:trPr>
        <w:tc>
          <w:tcPr>
            <w:tcW w:type="dxa" w:w="648"/>
            <w:tcMar>
              <w:top w:w="90" w:type="dxa"/>
              <w:start w:w="100" w:type="dxa"/>
              <w:bottom w:w="90" w:type="dxa"/>
              <w:end w:w="100" w:type="dxa"/>
            </w:tcMar>
            <w:vAlign w:val="center"/>
          </w:tcPr>
          <w:p>
            <w:pPr>
              <w:spacing w:after="0" w:line="240" w:lineRule="auto"/>
              <w:jc w:val="center"/>
            </w:pPr>
            <w:r>
              <w:rPr>
                <w:rFonts w:ascii="Times New Roman" w:hAnsi="Times New Roman"/>
                <w:sz w:val="17"/>
              </w:rPr>
              <w:t>5</w:t>
            </w:r>
          </w:p>
        </w:tc>
        <w:tc>
          <w:tcPr>
            <w:tcW w:type="dxa" w:w="792"/>
            <w:tcMar>
              <w:top w:w="90" w:type="dxa"/>
              <w:start w:w="100" w:type="dxa"/>
              <w:bottom w:w="90" w:type="dxa"/>
              <w:end w:w="100" w:type="dxa"/>
            </w:tcMar>
            <w:vAlign w:val="center"/>
          </w:tcPr>
          <w:p>
            <w:pPr>
              <w:spacing w:after="0" w:line="240" w:lineRule="auto"/>
              <w:jc w:val="center"/>
            </w:pPr>
            <w:r>
              <w:rPr>
                <w:rFonts w:ascii="Times New Roman" w:hAnsi="Times New Roman"/>
                <w:sz w:val="17"/>
              </w:rPr>
              <w:t>ii</w:t>
            </w:r>
          </w:p>
        </w:tc>
        <w:tc>
          <w:tcPr>
            <w:tcW w:type="dxa" w:w="4536"/>
            <w:tcMar>
              <w:top w:w="90" w:type="dxa"/>
              <w:start w:w="100" w:type="dxa"/>
              <w:bottom w:w="90" w:type="dxa"/>
              <w:end w:w="100" w:type="dxa"/>
            </w:tcMar>
            <w:vAlign w:val="center"/>
          </w:tcPr>
          <w:p>
            <w:pPr>
              <w:spacing w:after="0" w:line="240" w:lineRule="auto"/>
              <w:jc w:val="left"/>
            </w:pPr>
            <w:r>
              <w:rPr>
                <w:rFonts w:ascii="Times New Roman" w:hAnsi="Times New Roman"/>
                <w:sz w:val="17"/>
              </w:rPr>
              <w:t>Best conditional RMSE in Code B at low sigma</w:t>
            </w:r>
          </w:p>
        </w:tc>
        <w:tc>
          <w:tcPr>
            <w:tcW w:type="dxa" w:w="4536"/>
            <w:tcMar>
              <w:top w:w="90" w:type="dxa"/>
              <w:start w:w="100" w:type="dxa"/>
              <w:bottom w:w="90" w:type="dxa"/>
              <w:end w:w="100" w:type="dxa"/>
            </w:tcMar>
            <w:vAlign w:val="center"/>
          </w:tcPr>
          <w:p>
            <w:pPr>
              <w:spacing w:after="0" w:line="240" w:lineRule="auto"/>
              <w:jc w:val="left"/>
            </w:pPr>
            <w:r>
              <w:rPr>
                <w:rFonts w:ascii="Times New Roman" w:hAnsi="Times New Roman"/>
                <w:sz w:val="17"/>
              </w:rPr>
              <w:t>Largest global paired errors; worst GAM-adjusted baseline; 13% to 16% worse than the leading methods across metrics</w:t>
            </w:r>
          </w:p>
        </w:tc>
      </w:tr>
    </w:tbl>
    <w:p>
      <w:pPr>
        <w:pStyle w:val="NormalWeb"/>
        <w:spacing w:after="20"/>
      </w:pPr>
    </w:p>
    <w:p>
      <w:pPr>
        <w:pStyle w:val="Heading1"/>
        <w:keepNext/>
      </w:pPr>
      <w:r>
        <w:t>4 Experimental factors affecting RMSE</w:t>
      </w:r>
    </w:p>
    <w:p>
      <w:pPr>
        <w:pStyle w:val="NormalWeb"/>
      </w:pPr>
      <w:r>
        <w:t>RMSE was controlled primarily by G and sigma, with mean sample size a clear but smaller third influence. From the rounded Code A sums of squares, approximate partial eta squared was 0.1943 for G, 0.1864 for sigma, 0.0342 for mean sample size, 0.0144 for design block, 0.0136 for method, and 0.0087 for theta_true. Theta_CV was negligible at 0.0005, and the linear p1 and p2 effects were not significant.</w:t>
      </w:r>
    </w:p>
    <w:p>
      <w:pPr>
        <w:pStyle w:val="NormalWeb"/>
      </w:pPr>
      <w:r>
        <w:t>The direction of the factor effects was favorable for larger G and larger sample size and unfavorable for larger sigma. Code E estimated lower transformed error as G, theta_true, and mean sample size increased and higher error as sigma increased. Negative binomial and Poisson blocks had lower adjusted error than the Lognormal block. Code B confirmed strong Type III effects of all these factors and found no linear main effect of p1 or p2.</w:t>
      </w:r>
    </w:p>
    <w:p>
      <w:pPr>
        <w:pStyle w:val="NormalWeb"/>
      </w:pPr>
      <w:r>
        <w:t>Method rankings for RMSE were most sensitive to sigma. Code A estimated an approximate partial eta squared of 0.0077 for method by sigma, compared with 0.0020 for method by G and about 0.0008 for method by theta_true or mean sample size. In Code C2, sigma produced the largest multivariate change in the i-versus-ii, i-versus-iii, i-versus-iv, i-versus-v, iii-versus-v, and iv-versus-v gaps. The low-sigma advantage of method ii in Code B and its poor global ranking illustrate this interaction directly.</w:t>
      </w:r>
    </w:p>
    <w:p>
      <w:pPr>
        <w:pStyle w:val="Heading1"/>
        <w:keepNext/>
      </w:pPr>
      <w:r>
        <w:t>5 Experimental factors affecting L1</w:t>
      </w:r>
    </w:p>
    <w:p>
      <w:pPr>
        <w:pStyle w:val="NormalWeb"/>
      </w:pPr>
      <w:r>
        <w:t>L1 showed the same factor hierarchy as RMSE, with slightly larger main-effect magnitudes. Code A gave approximate partial eta squared values of 0.2387 for G, 0.2212 for sigma, 0.0509 for mean sample size, 0.0177 for design block, 0.0154 for method, and 0.0128 for theta_true. Theta_CV again had negligible practical influence, and linear p1 and p2 terms were not significant.</w:t>
      </w:r>
    </w:p>
    <w:p>
      <w:pPr>
        <w:pStyle w:val="NormalWeb"/>
      </w:pPr>
      <w:r>
        <w:t>The global method ordering for L1 was v, iii, iv, i, and ii. Method v reduced L1 error by 3.80% relative to i and 15.55% relative to ii; its advantage over iii was only 0.61%. At the Code B low-sigma reference condition, v and iii were statistically indistinguishable after Holm adjustment, followed by iv, i, and ii. Code E likewise placed v and iii at the leading edge for the L1 baseline.</w:t>
      </w:r>
    </w:p>
    <w:p>
      <w:pPr>
        <w:pStyle w:val="NormalWeb"/>
      </w:pPr>
      <w:r>
        <w:t>The L1 method gaps remained conditional. Method by sigma had approximate partial eta squared of 0.0071 in Code A, whereas interactions with G, sample size, theta_true, and design block were about 0.0006 to 0.0016. Code E's v-minus-iii GAM found the strongest nonlinear simplex surface for L1, with effective degrees of freedom 26.29 and F = 216.23. Thus, L1 provides the clearest evidence that the small difference between v and iii depends on where the true composition lies on the simplex.</w:t>
      </w:r>
    </w:p>
    <w:p>
      <w:pPr>
        <w:pStyle w:val="Heading1"/>
        <w:keepNext/>
      </w:pPr>
      <w:r>
        <w:t>6 Experimental factors affecting Linf</w:t>
      </w:r>
    </w:p>
    <w:p>
      <w:pPr>
        <w:pStyle w:val="NormalWeb"/>
      </w:pPr>
      <w:r>
        <w:t>Linf was influenced almost equally by G and sigma. Approximate Code A partial eta squared was 0.1630 for G and 0.1618 for sigma, followed by 0.0255 for mean sample size, 0.0121 for design block, 0.0113 for method, and 0.0066 for theta_true. Theta_CV was again negligible, while linear p1 and p2 main effects were not significant.</w:t>
      </w:r>
    </w:p>
    <w:p>
      <w:pPr>
        <w:pStyle w:val="NormalWeb"/>
      </w:pPr>
      <w:r>
        <w:t>The global Linf ordering was v, iii, iv, i, and ii. Method v reduced maximum-component error by 4.29% relative to i and 16.13% relative to ii, but only 0.39% relative to iii. At the Code B low-sigma reference condition, iii, v, iv, and ii were not separated after Holm adjustment, although all four were better than i. This near-tie is consistent with the view that global rank differences can be small within selected experimental regions.</w:t>
      </w:r>
    </w:p>
    <w:p>
      <w:pPr>
        <w:pStyle w:val="NormalWeb"/>
      </w:pPr>
      <w:r>
        <w:t>Method by sigma was again the largest Code A interaction, with approximate partial eta squared of 0.0070. Method by G was next at about 0.0020; the other interactions were below 0.0007. The Linf conclusions therefore match RMSE and L1: G and sigma govern the overall error level, while sigma is the main factor that changes the relative ordering of methods.</w:t>
      </w:r>
    </w:p>
    <w:p>
      <w:pPr>
        <w:pStyle w:val="Heading1"/>
        <w:keepNext/>
      </w:pPr>
      <w:r>
        <w:t>7 Cross metric hierarchy of factor effects</w:t>
      </w:r>
    </w:p>
    <w:p>
      <w:pPr>
        <w:pStyle w:val="NormalWeb"/>
      </w:pPr>
      <w:r>
        <w:t>The three error metrics produce a highly consistent hierarchy. The table reports approximate partial eta squared calculated from the rounded Code A sequential sums of squares and residual sums of squares. Values should be interpreted as comparative magnitudes within Code A, not as exact design-invariant quantities.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102"/>
        <w:gridCol w:w="2102"/>
        <w:gridCol w:w="2102"/>
        <w:gridCol w:w="2102"/>
        <w:gridCol w:w="2102"/>
      </w:tblGrid>
      <w:tr>
        <w:trPr>
          <w:tblHeader w:val="true"/>
          <w:cantSplit/>
        </w:trPr>
        <w:tc>
          <w:tcPr>
            <w:tcW w:type="dxa" w:w="1944"/>
            <w:shd w:fill="D9E2F3"/>
            <w:tcMar>
              <w:top w:w="90" w:type="dxa"/>
              <w:start w:w="100" w:type="dxa"/>
              <w:bottom w:w="90" w:type="dxa"/>
              <w:end w:w="100" w:type="dxa"/>
            </w:tcMar>
            <w:vAlign w:val="center"/>
          </w:tcPr>
          <w:p>
            <w:pPr>
              <w:spacing w:after="0"/>
              <w:jc w:val="center"/>
            </w:pPr>
            <w:r>
              <w:rPr>
                <w:rFonts w:ascii="Times New Roman" w:hAnsi="Times New Roman"/>
                <w:b/>
                <w:color w:val="000000"/>
                <w:sz w:val="18"/>
              </w:rPr>
              <w:t>Factor</w:t>
            </w:r>
          </w:p>
        </w:tc>
        <w:tc>
          <w:tcPr>
            <w:tcW w:type="dxa" w:w="936"/>
            <w:shd w:fill="D9E2F3"/>
            <w:tcMar>
              <w:top w:w="90" w:type="dxa"/>
              <w:start w:w="100" w:type="dxa"/>
              <w:bottom w:w="90" w:type="dxa"/>
              <w:end w:w="100" w:type="dxa"/>
            </w:tcMar>
            <w:vAlign w:val="center"/>
          </w:tcPr>
          <w:p>
            <w:pPr>
              <w:spacing w:after="0"/>
              <w:jc w:val="center"/>
            </w:pPr>
            <w:r>
              <w:rPr>
                <w:rFonts w:ascii="Times New Roman" w:hAnsi="Times New Roman"/>
                <w:b/>
                <w:color w:val="000000"/>
                <w:sz w:val="18"/>
              </w:rPr>
              <w:t>RMSE</w:t>
            </w:r>
          </w:p>
        </w:tc>
        <w:tc>
          <w:tcPr>
            <w:tcW w:type="dxa" w:w="936"/>
            <w:shd w:fill="D9E2F3"/>
            <w:tcMar>
              <w:top w:w="90" w:type="dxa"/>
              <w:start w:w="100" w:type="dxa"/>
              <w:bottom w:w="90" w:type="dxa"/>
              <w:end w:w="100" w:type="dxa"/>
            </w:tcMar>
            <w:vAlign w:val="center"/>
          </w:tcPr>
          <w:p>
            <w:pPr>
              <w:spacing w:after="0"/>
              <w:jc w:val="center"/>
            </w:pPr>
            <w:r>
              <w:rPr>
                <w:rFonts w:ascii="Times New Roman" w:hAnsi="Times New Roman"/>
                <w:b/>
                <w:color w:val="000000"/>
                <w:sz w:val="18"/>
              </w:rPr>
              <w:t>L1</w:t>
            </w:r>
          </w:p>
        </w:tc>
        <w:tc>
          <w:tcPr>
            <w:tcW w:type="dxa" w:w="936"/>
            <w:shd w:fill="D9E2F3"/>
            <w:tcMar>
              <w:top w:w="90" w:type="dxa"/>
              <w:start w:w="100" w:type="dxa"/>
              <w:bottom w:w="90" w:type="dxa"/>
              <w:end w:w="100" w:type="dxa"/>
            </w:tcMar>
            <w:vAlign w:val="center"/>
          </w:tcPr>
          <w:p>
            <w:pPr>
              <w:spacing w:after="0"/>
              <w:jc w:val="center"/>
            </w:pPr>
            <w:r>
              <w:rPr>
                <w:rFonts w:ascii="Times New Roman" w:hAnsi="Times New Roman"/>
                <w:b/>
                <w:color w:val="000000"/>
                <w:sz w:val="18"/>
              </w:rPr>
              <w:t>Linf</w:t>
            </w:r>
          </w:p>
        </w:tc>
        <w:tc>
          <w:tcPr>
            <w:tcW w:type="dxa" w:w="5760"/>
            <w:shd w:fill="D9E2F3"/>
            <w:tcMar>
              <w:top w:w="90" w:type="dxa"/>
              <w:start w:w="100" w:type="dxa"/>
              <w:bottom w:w="90" w:type="dxa"/>
              <w:end w:w="100" w:type="dxa"/>
            </w:tcMar>
            <w:vAlign w:val="center"/>
          </w:tcPr>
          <w:p>
            <w:pPr>
              <w:spacing w:after="0"/>
              <w:jc w:val="center"/>
            </w:pPr>
            <w:r>
              <w:rPr>
                <w:rFonts w:ascii="Times New Roman" w:hAnsi="Times New Roman"/>
                <w:b/>
                <w:color w:val="000000"/>
                <w:sz w:val="18"/>
              </w:rPr>
              <w:t>Integrated interpretation</w:t>
            </w:r>
          </w:p>
        </w:tc>
      </w:tr>
      <w:tr>
        <w:trPr>
          <w:cantSplit/>
        </w:trPr>
        <w:tc>
          <w:tcPr>
            <w:tcW w:type="dxa" w:w="1944"/>
            <w:tcMar>
              <w:top w:w="90" w:type="dxa"/>
              <w:start w:w="100" w:type="dxa"/>
              <w:bottom w:w="90" w:type="dxa"/>
              <w:end w:w="100" w:type="dxa"/>
            </w:tcMar>
            <w:vAlign w:val="center"/>
          </w:tcPr>
          <w:p>
            <w:pPr>
              <w:spacing w:after="0" w:line="240" w:lineRule="auto"/>
              <w:jc w:val="left"/>
            </w:pPr>
            <w:r>
              <w:rPr>
                <w:rFonts w:ascii="Times New Roman" w:hAnsi="Times New Roman"/>
                <w:sz w:val="18"/>
              </w:rPr>
              <w:t>G</w:t>
            </w:r>
          </w:p>
        </w:tc>
        <w:tc>
          <w:tcPr>
            <w:tcW w:type="dxa" w:w="936"/>
            <w:tcMar>
              <w:top w:w="90" w:type="dxa"/>
              <w:start w:w="100" w:type="dxa"/>
              <w:bottom w:w="90" w:type="dxa"/>
              <w:end w:w="100" w:type="dxa"/>
            </w:tcMar>
            <w:vAlign w:val="center"/>
          </w:tcPr>
          <w:p>
            <w:pPr>
              <w:spacing w:after="0" w:line="240" w:lineRule="auto"/>
              <w:jc w:val="center"/>
            </w:pPr>
            <w:r>
              <w:rPr>
                <w:rFonts w:ascii="Times New Roman" w:hAnsi="Times New Roman"/>
                <w:sz w:val="18"/>
              </w:rPr>
              <w:t>0.1943</w:t>
            </w:r>
          </w:p>
        </w:tc>
        <w:tc>
          <w:tcPr>
            <w:tcW w:type="dxa" w:w="936"/>
            <w:tcMar>
              <w:top w:w="90" w:type="dxa"/>
              <w:start w:w="100" w:type="dxa"/>
              <w:bottom w:w="90" w:type="dxa"/>
              <w:end w:w="100" w:type="dxa"/>
            </w:tcMar>
            <w:vAlign w:val="center"/>
          </w:tcPr>
          <w:p>
            <w:pPr>
              <w:spacing w:after="0" w:line="240" w:lineRule="auto"/>
              <w:jc w:val="center"/>
            </w:pPr>
            <w:r>
              <w:rPr>
                <w:rFonts w:ascii="Times New Roman" w:hAnsi="Times New Roman"/>
                <w:sz w:val="18"/>
              </w:rPr>
              <w:t>0.2387</w:t>
            </w:r>
          </w:p>
        </w:tc>
        <w:tc>
          <w:tcPr>
            <w:tcW w:type="dxa" w:w="936"/>
            <w:tcMar>
              <w:top w:w="90" w:type="dxa"/>
              <w:start w:w="100" w:type="dxa"/>
              <w:bottom w:w="90" w:type="dxa"/>
              <w:end w:w="100" w:type="dxa"/>
            </w:tcMar>
            <w:vAlign w:val="center"/>
          </w:tcPr>
          <w:p>
            <w:pPr>
              <w:spacing w:after="0" w:line="240" w:lineRule="auto"/>
              <w:jc w:val="center"/>
            </w:pPr>
            <w:r>
              <w:rPr>
                <w:rFonts w:ascii="Times New Roman" w:hAnsi="Times New Roman"/>
                <w:sz w:val="18"/>
              </w:rPr>
              <w:t>0.1630</w:t>
            </w:r>
          </w:p>
        </w:tc>
        <w:tc>
          <w:tcPr>
            <w:tcW w:type="dxa" w:w="5760"/>
            <w:tcMar>
              <w:top w:w="90" w:type="dxa"/>
              <w:start w:w="100" w:type="dxa"/>
              <w:bottom w:w="90" w:type="dxa"/>
              <w:end w:w="100" w:type="dxa"/>
            </w:tcMar>
            <w:vAlign w:val="center"/>
          </w:tcPr>
          <w:p>
            <w:pPr>
              <w:spacing w:after="0" w:line="240" w:lineRule="auto"/>
              <w:jc w:val="left"/>
            </w:pPr>
            <w:r>
              <w:rPr>
                <w:rFonts w:ascii="Times New Roman" w:hAnsi="Times New Roman"/>
                <w:sz w:val="18"/>
              </w:rPr>
              <w:t>Largest effect for all three metrics; larger G generally lowers error</w:t>
            </w:r>
          </w:p>
        </w:tc>
      </w:tr>
      <w:tr>
        <w:trPr>
          <w:cantSplit/>
        </w:trPr>
        <w:tc>
          <w:tcPr>
            <w:tcW w:type="dxa" w:w="1944"/>
            <w:tcMar>
              <w:top w:w="90" w:type="dxa"/>
              <w:start w:w="100" w:type="dxa"/>
              <w:bottom w:w="90" w:type="dxa"/>
              <w:end w:w="100" w:type="dxa"/>
            </w:tcMar>
            <w:shd w:fill="F7F9FC"/>
            <w:vAlign w:val="center"/>
          </w:tcPr>
          <w:p>
            <w:pPr>
              <w:spacing w:after="0" w:line="240" w:lineRule="auto"/>
              <w:jc w:val="left"/>
            </w:pPr>
            <w:r>
              <w:rPr>
                <w:rFonts w:ascii="Times New Roman" w:hAnsi="Times New Roman"/>
                <w:sz w:val="18"/>
              </w:rPr>
              <w:t>sigma</w:t>
            </w:r>
          </w:p>
        </w:tc>
        <w:tc>
          <w:tcPr>
            <w:tcW w:type="dxa" w:w="936"/>
            <w:tcMar>
              <w:top w:w="90" w:type="dxa"/>
              <w:start w:w="100" w:type="dxa"/>
              <w:bottom w:w="90" w:type="dxa"/>
              <w:end w:w="100" w:type="dxa"/>
            </w:tcMar>
            <w:shd w:fill="F7F9FC"/>
            <w:vAlign w:val="center"/>
          </w:tcPr>
          <w:p>
            <w:pPr>
              <w:spacing w:after="0" w:line="240" w:lineRule="auto"/>
              <w:jc w:val="center"/>
            </w:pPr>
            <w:r>
              <w:rPr>
                <w:rFonts w:ascii="Times New Roman" w:hAnsi="Times New Roman"/>
                <w:sz w:val="18"/>
              </w:rPr>
              <w:t>0.1864</w:t>
            </w:r>
          </w:p>
        </w:tc>
        <w:tc>
          <w:tcPr>
            <w:tcW w:type="dxa" w:w="936"/>
            <w:tcMar>
              <w:top w:w="90" w:type="dxa"/>
              <w:start w:w="100" w:type="dxa"/>
              <w:bottom w:w="90" w:type="dxa"/>
              <w:end w:w="100" w:type="dxa"/>
            </w:tcMar>
            <w:shd w:fill="F7F9FC"/>
            <w:vAlign w:val="center"/>
          </w:tcPr>
          <w:p>
            <w:pPr>
              <w:spacing w:after="0" w:line="240" w:lineRule="auto"/>
              <w:jc w:val="center"/>
            </w:pPr>
            <w:r>
              <w:rPr>
                <w:rFonts w:ascii="Times New Roman" w:hAnsi="Times New Roman"/>
                <w:sz w:val="18"/>
              </w:rPr>
              <w:t>0.2212</w:t>
            </w:r>
          </w:p>
        </w:tc>
        <w:tc>
          <w:tcPr>
            <w:tcW w:type="dxa" w:w="936"/>
            <w:tcMar>
              <w:top w:w="90" w:type="dxa"/>
              <w:start w:w="100" w:type="dxa"/>
              <w:bottom w:w="90" w:type="dxa"/>
              <w:end w:w="100" w:type="dxa"/>
            </w:tcMar>
            <w:shd w:fill="F7F9FC"/>
            <w:vAlign w:val="center"/>
          </w:tcPr>
          <w:p>
            <w:pPr>
              <w:spacing w:after="0" w:line="240" w:lineRule="auto"/>
              <w:jc w:val="center"/>
            </w:pPr>
            <w:r>
              <w:rPr>
                <w:rFonts w:ascii="Times New Roman" w:hAnsi="Times New Roman"/>
                <w:sz w:val="18"/>
              </w:rPr>
              <w:t>0.1618</w:t>
            </w:r>
          </w:p>
        </w:tc>
        <w:tc>
          <w:tcPr>
            <w:tcW w:type="dxa" w:w="5760"/>
            <w:tcMar>
              <w:top w:w="90" w:type="dxa"/>
              <w:start w:w="100" w:type="dxa"/>
              <w:bottom w:w="90" w:type="dxa"/>
              <w:end w:w="100" w:type="dxa"/>
            </w:tcMar>
            <w:shd w:fill="F7F9FC"/>
            <w:vAlign w:val="center"/>
          </w:tcPr>
          <w:p>
            <w:pPr>
              <w:spacing w:after="0" w:line="240" w:lineRule="auto"/>
              <w:jc w:val="left"/>
            </w:pPr>
            <w:r>
              <w:rPr>
                <w:rFonts w:ascii="Times New Roman" w:hAnsi="Times New Roman"/>
                <w:sz w:val="18"/>
              </w:rPr>
              <w:t>Nearly as large as G; higher dispersion raises error</w:t>
            </w:r>
          </w:p>
        </w:tc>
      </w:tr>
      <w:tr>
        <w:trPr>
          <w:cantSplit/>
        </w:trPr>
        <w:tc>
          <w:tcPr>
            <w:tcW w:type="dxa" w:w="1944"/>
            <w:tcMar>
              <w:top w:w="90" w:type="dxa"/>
              <w:start w:w="100" w:type="dxa"/>
              <w:bottom w:w="90" w:type="dxa"/>
              <w:end w:w="100" w:type="dxa"/>
            </w:tcMar>
            <w:vAlign w:val="center"/>
          </w:tcPr>
          <w:p>
            <w:pPr>
              <w:spacing w:after="0" w:line="240" w:lineRule="auto"/>
              <w:jc w:val="left"/>
            </w:pPr>
            <w:r>
              <w:rPr>
                <w:rFonts w:ascii="Times New Roman" w:hAnsi="Times New Roman"/>
                <w:sz w:val="18"/>
              </w:rPr>
              <w:t>mean sample size</w:t>
            </w:r>
          </w:p>
        </w:tc>
        <w:tc>
          <w:tcPr>
            <w:tcW w:type="dxa" w:w="936"/>
            <w:tcMar>
              <w:top w:w="90" w:type="dxa"/>
              <w:start w:w="100" w:type="dxa"/>
              <w:bottom w:w="90" w:type="dxa"/>
              <w:end w:w="100" w:type="dxa"/>
            </w:tcMar>
            <w:vAlign w:val="center"/>
          </w:tcPr>
          <w:p>
            <w:pPr>
              <w:spacing w:after="0" w:line="240" w:lineRule="auto"/>
              <w:jc w:val="center"/>
            </w:pPr>
            <w:r>
              <w:rPr>
                <w:rFonts w:ascii="Times New Roman" w:hAnsi="Times New Roman"/>
                <w:sz w:val="18"/>
              </w:rPr>
              <w:t>0.0342</w:t>
            </w:r>
          </w:p>
        </w:tc>
        <w:tc>
          <w:tcPr>
            <w:tcW w:type="dxa" w:w="936"/>
            <w:tcMar>
              <w:top w:w="90" w:type="dxa"/>
              <w:start w:w="100" w:type="dxa"/>
              <w:bottom w:w="90" w:type="dxa"/>
              <w:end w:w="100" w:type="dxa"/>
            </w:tcMar>
            <w:vAlign w:val="center"/>
          </w:tcPr>
          <w:p>
            <w:pPr>
              <w:spacing w:after="0" w:line="240" w:lineRule="auto"/>
              <w:jc w:val="center"/>
            </w:pPr>
            <w:r>
              <w:rPr>
                <w:rFonts w:ascii="Times New Roman" w:hAnsi="Times New Roman"/>
                <w:sz w:val="18"/>
              </w:rPr>
              <w:t>0.0509</w:t>
            </w:r>
          </w:p>
        </w:tc>
        <w:tc>
          <w:tcPr>
            <w:tcW w:type="dxa" w:w="936"/>
            <w:tcMar>
              <w:top w:w="90" w:type="dxa"/>
              <w:start w:w="100" w:type="dxa"/>
              <w:bottom w:w="90" w:type="dxa"/>
              <w:end w:w="100" w:type="dxa"/>
            </w:tcMar>
            <w:vAlign w:val="center"/>
          </w:tcPr>
          <w:p>
            <w:pPr>
              <w:spacing w:after="0" w:line="240" w:lineRule="auto"/>
              <w:jc w:val="center"/>
            </w:pPr>
            <w:r>
              <w:rPr>
                <w:rFonts w:ascii="Times New Roman" w:hAnsi="Times New Roman"/>
                <w:sz w:val="18"/>
              </w:rPr>
              <w:t>0.0255</w:t>
            </w:r>
          </w:p>
        </w:tc>
        <w:tc>
          <w:tcPr>
            <w:tcW w:type="dxa" w:w="5760"/>
            <w:tcMar>
              <w:top w:w="90" w:type="dxa"/>
              <w:start w:w="100" w:type="dxa"/>
              <w:bottom w:w="90" w:type="dxa"/>
              <w:end w:w="100" w:type="dxa"/>
            </w:tcMar>
            <w:vAlign w:val="center"/>
          </w:tcPr>
          <w:p>
            <w:pPr>
              <w:spacing w:after="0" w:line="240" w:lineRule="auto"/>
              <w:jc w:val="left"/>
            </w:pPr>
            <w:r>
              <w:rPr>
                <w:rFonts w:ascii="Times New Roman" w:hAnsi="Times New Roman"/>
                <w:sz w:val="18"/>
              </w:rPr>
              <w:t>Third-largest design effect; larger samples improve accuracy</w:t>
            </w:r>
          </w:p>
        </w:tc>
      </w:tr>
      <w:tr>
        <w:trPr>
          <w:cantSplit/>
        </w:trPr>
        <w:tc>
          <w:tcPr>
            <w:tcW w:type="dxa" w:w="1944"/>
            <w:tcMar>
              <w:top w:w="90" w:type="dxa"/>
              <w:start w:w="100" w:type="dxa"/>
              <w:bottom w:w="90" w:type="dxa"/>
              <w:end w:w="100" w:type="dxa"/>
            </w:tcMar>
            <w:shd w:fill="F7F9FC"/>
            <w:vAlign w:val="center"/>
          </w:tcPr>
          <w:p>
            <w:pPr>
              <w:spacing w:after="0" w:line="240" w:lineRule="auto"/>
              <w:jc w:val="left"/>
            </w:pPr>
            <w:r>
              <w:rPr>
                <w:rFonts w:ascii="Times New Roman" w:hAnsi="Times New Roman"/>
                <w:sz w:val="18"/>
              </w:rPr>
              <w:t>design block</w:t>
            </w:r>
          </w:p>
        </w:tc>
        <w:tc>
          <w:tcPr>
            <w:tcW w:type="dxa" w:w="936"/>
            <w:tcMar>
              <w:top w:w="90" w:type="dxa"/>
              <w:start w:w="100" w:type="dxa"/>
              <w:bottom w:w="90" w:type="dxa"/>
              <w:end w:w="100" w:type="dxa"/>
            </w:tcMar>
            <w:shd w:fill="F7F9FC"/>
            <w:vAlign w:val="center"/>
          </w:tcPr>
          <w:p>
            <w:pPr>
              <w:spacing w:after="0" w:line="240" w:lineRule="auto"/>
              <w:jc w:val="center"/>
            </w:pPr>
            <w:r>
              <w:rPr>
                <w:rFonts w:ascii="Times New Roman" w:hAnsi="Times New Roman"/>
                <w:sz w:val="18"/>
              </w:rPr>
              <w:t>0.0144</w:t>
            </w:r>
          </w:p>
        </w:tc>
        <w:tc>
          <w:tcPr>
            <w:tcW w:type="dxa" w:w="936"/>
            <w:tcMar>
              <w:top w:w="90" w:type="dxa"/>
              <w:start w:w="100" w:type="dxa"/>
              <w:bottom w:w="90" w:type="dxa"/>
              <w:end w:w="100" w:type="dxa"/>
            </w:tcMar>
            <w:shd w:fill="F7F9FC"/>
            <w:vAlign w:val="center"/>
          </w:tcPr>
          <w:p>
            <w:pPr>
              <w:spacing w:after="0" w:line="240" w:lineRule="auto"/>
              <w:jc w:val="center"/>
            </w:pPr>
            <w:r>
              <w:rPr>
                <w:rFonts w:ascii="Times New Roman" w:hAnsi="Times New Roman"/>
                <w:sz w:val="18"/>
              </w:rPr>
              <w:t>0.0177</w:t>
            </w:r>
          </w:p>
        </w:tc>
        <w:tc>
          <w:tcPr>
            <w:tcW w:type="dxa" w:w="936"/>
            <w:tcMar>
              <w:top w:w="90" w:type="dxa"/>
              <w:start w:w="100" w:type="dxa"/>
              <w:bottom w:w="90" w:type="dxa"/>
              <w:end w:w="100" w:type="dxa"/>
            </w:tcMar>
            <w:shd w:fill="F7F9FC"/>
            <w:vAlign w:val="center"/>
          </w:tcPr>
          <w:p>
            <w:pPr>
              <w:spacing w:after="0" w:line="240" w:lineRule="auto"/>
              <w:jc w:val="center"/>
            </w:pPr>
            <w:r>
              <w:rPr>
                <w:rFonts w:ascii="Times New Roman" w:hAnsi="Times New Roman"/>
                <w:sz w:val="18"/>
              </w:rPr>
              <w:t>0.0121</w:t>
            </w:r>
          </w:p>
        </w:tc>
        <w:tc>
          <w:tcPr>
            <w:tcW w:type="dxa" w:w="5760"/>
            <w:tcMar>
              <w:top w:w="90" w:type="dxa"/>
              <w:start w:w="100" w:type="dxa"/>
              <w:bottom w:w="90" w:type="dxa"/>
              <w:end w:w="100" w:type="dxa"/>
            </w:tcMar>
            <w:shd w:fill="F7F9FC"/>
            <w:vAlign w:val="center"/>
          </w:tcPr>
          <w:p>
            <w:pPr>
              <w:spacing w:after="0" w:line="240" w:lineRule="auto"/>
              <w:jc w:val="left"/>
            </w:pPr>
            <w:r>
              <w:rPr>
                <w:rFonts w:ascii="Times New Roman" w:hAnsi="Times New Roman"/>
                <w:sz w:val="18"/>
              </w:rPr>
              <w:t>Lognormal cases generally have higher adjusted error</w:t>
            </w:r>
          </w:p>
        </w:tc>
      </w:tr>
      <w:tr>
        <w:trPr>
          <w:cantSplit/>
        </w:trPr>
        <w:tc>
          <w:tcPr>
            <w:tcW w:type="dxa" w:w="1944"/>
            <w:tcMar>
              <w:top w:w="90" w:type="dxa"/>
              <w:start w:w="100" w:type="dxa"/>
              <w:bottom w:w="90" w:type="dxa"/>
              <w:end w:w="100" w:type="dxa"/>
            </w:tcMar>
            <w:vAlign w:val="center"/>
          </w:tcPr>
          <w:p>
            <w:pPr>
              <w:spacing w:after="0" w:line="240" w:lineRule="auto"/>
              <w:jc w:val="left"/>
            </w:pPr>
            <w:r>
              <w:rPr>
                <w:rFonts w:ascii="Times New Roman" w:hAnsi="Times New Roman"/>
                <w:sz w:val="18"/>
              </w:rPr>
              <w:t>method</w:t>
            </w:r>
          </w:p>
        </w:tc>
        <w:tc>
          <w:tcPr>
            <w:tcW w:type="dxa" w:w="936"/>
            <w:tcMar>
              <w:top w:w="90" w:type="dxa"/>
              <w:start w:w="100" w:type="dxa"/>
              <w:bottom w:w="90" w:type="dxa"/>
              <w:end w:w="100" w:type="dxa"/>
            </w:tcMar>
            <w:vAlign w:val="center"/>
          </w:tcPr>
          <w:p>
            <w:pPr>
              <w:spacing w:after="0" w:line="240" w:lineRule="auto"/>
              <w:jc w:val="center"/>
            </w:pPr>
            <w:r>
              <w:rPr>
                <w:rFonts w:ascii="Times New Roman" w:hAnsi="Times New Roman"/>
                <w:sz w:val="18"/>
              </w:rPr>
              <w:t>0.0136</w:t>
            </w:r>
          </w:p>
        </w:tc>
        <w:tc>
          <w:tcPr>
            <w:tcW w:type="dxa" w:w="936"/>
            <w:tcMar>
              <w:top w:w="90" w:type="dxa"/>
              <w:start w:w="100" w:type="dxa"/>
              <w:bottom w:w="90" w:type="dxa"/>
              <w:end w:w="100" w:type="dxa"/>
            </w:tcMar>
            <w:vAlign w:val="center"/>
          </w:tcPr>
          <w:p>
            <w:pPr>
              <w:spacing w:after="0" w:line="240" w:lineRule="auto"/>
              <w:jc w:val="center"/>
            </w:pPr>
            <w:r>
              <w:rPr>
                <w:rFonts w:ascii="Times New Roman" w:hAnsi="Times New Roman"/>
                <w:sz w:val="18"/>
              </w:rPr>
              <w:t>0.0154</w:t>
            </w:r>
          </w:p>
        </w:tc>
        <w:tc>
          <w:tcPr>
            <w:tcW w:type="dxa" w:w="936"/>
            <w:tcMar>
              <w:top w:w="90" w:type="dxa"/>
              <w:start w:w="100" w:type="dxa"/>
              <w:bottom w:w="90" w:type="dxa"/>
              <w:end w:w="100" w:type="dxa"/>
            </w:tcMar>
            <w:vAlign w:val="center"/>
          </w:tcPr>
          <w:p>
            <w:pPr>
              <w:spacing w:after="0" w:line="240" w:lineRule="auto"/>
              <w:jc w:val="center"/>
            </w:pPr>
            <w:r>
              <w:rPr>
                <w:rFonts w:ascii="Times New Roman" w:hAnsi="Times New Roman"/>
                <w:sz w:val="18"/>
              </w:rPr>
              <w:t>0.0113</w:t>
            </w:r>
          </w:p>
        </w:tc>
        <w:tc>
          <w:tcPr>
            <w:tcW w:type="dxa" w:w="5760"/>
            <w:tcMar>
              <w:top w:w="90" w:type="dxa"/>
              <w:start w:w="100" w:type="dxa"/>
              <w:bottom w:w="90" w:type="dxa"/>
              <w:end w:w="100" w:type="dxa"/>
            </w:tcMar>
            <w:vAlign w:val="center"/>
          </w:tcPr>
          <w:p>
            <w:pPr>
              <w:spacing w:after="0" w:line="240" w:lineRule="auto"/>
              <w:jc w:val="left"/>
            </w:pPr>
            <w:r>
              <w:rPr>
                <w:rFonts w:ascii="Times New Roman" w:hAnsi="Times New Roman"/>
                <w:sz w:val="18"/>
              </w:rPr>
              <w:t>Real and consistent, but smaller than G, sigma, and sample size</w:t>
            </w:r>
          </w:p>
        </w:tc>
      </w:tr>
      <w:tr>
        <w:trPr>
          <w:cantSplit/>
        </w:trPr>
        <w:tc>
          <w:tcPr>
            <w:tcW w:type="dxa" w:w="1944"/>
            <w:tcMar>
              <w:top w:w="90" w:type="dxa"/>
              <w:start w:w="100" w:type="dxa"/>
              <w:bottom w:w="90" w:type="dxa"/>
              <w:end w:w="100" w:type="dxa"/>
            </w:tcMar>
            <w:shd w:fill="F7F9FC"/>
            <w:vAlign w:val="center"/>
          </w:tcPr>
          <w:p>
            <w:pPr>
              <w:spacing w:after="0" w:line="240" w:lineRule="auto"/>
              <w:jc w:val="left"/>
            </w:pPr>
            <w:r>
              <w:rPr>
                <w:rFonts w:ascii="Times New Roman" w:hAnsi="Times New Roman"/>
                <w:sz w:val="18"/>
              </w:rPr>
              <w:t>theta_true</w:t>
            </w:r>
          </w:p>
        </w:tc>
        <w:tc>
          <w:tcPr>
            <w:tcW w:type="dxa" w:w="936"/>
            <w:tcMar>
              <w:top w:w="90" w:type="dxa"/>
              <w:start w:w="100" w:type="dxa"/>
              <w:bottom w:w="90" w:type="dxa"/>
              <w:end w:w="100" w:type="dxa"/>
            </w:tcMar>
            <w:shd w:fill="F7F9FC"/>
            <w:vAlign w:val="center"/>
          </w:tcPr>
          <w:p>
            <w:pPr>
              <w:spacing w:after="0" w:line="240" w:lineRule="auto"/>
              <w:jc w:val="center"/>
            </w:pPr>
            <w:r>
              <w:rPr>
                <w:rFonts w:ascii="Times New Roman" w:hAnsi="Times New Roman"/>
                <w:sz w:val="18"/>
              </w:rPr>
              <w:t>0.0087</w:t>
            </w:r>
          </w:p>
        </w:tc>
        <w:tc>
          <w:tcPr>
            <w:tcW w:type="dxa" w:w="936"/>
            <w:tcMar>
              <w:top w:w="90" w:type="dxa"/>
              <w:start w:w="100" w:type="dxa"/>
              <w:bottom w:w="90" w:type="dxa"/>
              <w:end w:w="100" w:type="dxa"/>
            </w:tcMar>
            <w:shd w:fill="F7F9FC"/>
            <w:vAlign w:val="center"/>
          </w:tcPr>
          <w:p>
            <w:pPr>
              <w:spacing w:after="0" w:line="240" w:lineRule="auto"/>
              <w:jc w:val="center"/>
            </w:pPr>
            <w:r>
              <w:rPr>
                <w:rFonts w:ascii="Times New Roman" w:hAnsi="Times New Roman"/>
                <w:sz w:val="18"/>
              </w:rPr>
              <w:t>0.0128</w:t>
            </w:r>
          </w:p>
        </w:tc>
        <w:tc>
          <w:tcPr>
            <w:tcW w:type="dxa" w:w="936"/>
            <w:tcMar>
              <w:top w:w="90" w:type="dxa"/>
              <w:start w:w="100" w:type="dxa"/>
              <w:bottom w:w="90" w:type="dxa"/>
              <w:end w:w="100" w:type="dxa"/>
            </w:tcMar>
            <w:shd w:fill="F7F9FC"/>
            <w:vAlign w:val="center"/>
          </w:tcPr>
          <w:p>
            <w:pPr>
              <w:spacing w:after="0" w:line="240" w:lineRule="auto"/>
              <w:jc w:val="center"/>
            </w:pPr>
            <w:r>
              <w:rPr>
                <w:rFonts w:ascii="Times New Roman" w:hAnsi="Times New Roman"/>
                <w:sz w:val="18"/>
              </w:rPr>
              <w:t>0.0066</w:t>
            </w:r>
          </w:p>
        </w:tc>
        <w:tc>
          <w:tcPr>
            <w:tcW w:type="dxa" w:w="5760"/>
            <w:tcMar>
              <w:top w:w="90" w:type="dxa"/>
              <w:start w:w="100" w:type="dxa"/>
              <w:bottom w:w="90" w:type="dxa"/>
              <w:end w:w="100" w:type="dxa"/>
            </w:tcMar>
            <w:shd w:fill="F7F9FC"/>
            <w:vAlign w:val="center"/>
          </w:tcPr>
          <w:p>
            <w:pPr>
              <w:spacing w:after="0" w:line="240" w:lineRule="auto"/>
              <w:jc w:val="left"/>
            </w:pPr>
            <w:r>
              <w:rPr>
                <w:rFonts w:ascii="Times New Roman" w:hAnsi="Times New Roman"/>
                <w:sz w:val="18"/>
              </w:rPr>
              <w:t>Small consistent effect; higher values generally lower error</w:t>
            </w:r>
          </w:p>
        </w:tc>
      </w:tr>
      <w:tr>
        <w:trPr>
          <w:cantSplit/>
        </w:trPr>
        <w:tc>
          <w:tcPr>
            <w:tcW w:type="dxa" w:w="1944"/>
            <w:tcMar>
              <w:top w:w="90" w:type="dxa"/>
              <w:start w:w="100" w:type="dxa"/>
              <w:bottom w:w="90" w:type="dxa"/>
              <w:end w:w="100" w:type="dxa"/>
            </w:tcMar>
            <w:vAlign w:val="center"/>
          </w:tcPr>
          <w:p>
            <w:pPr>
              <w:spacing w:after="0" w:line="240" w:lineRule="auto"/>
              <w:jc w:val="left"/>
            </w:pPr>
            <w:r>
              <w:rPr>
                <w:rFonts w:ascii="Times New Roman" w:hAnsi="Times New Roman"/>
                <w:sz w:val="18"/>
              </w:rPr>
              <w:t>theta_CV</w:t>
            </w:r>
          </w:p>
        </w:tc>
        <w:tc>
          <w:tcPr>
            <w:tcW w:type="dxa" w:w="936"/>
            <w:tcMar>
              <w:top w:w="90" w:type="dxa"/>
              <w:start w:w="100" w:type="dxa"/>
              <w:bottom w:w="90" w:type="dxa"/>
              <w:end w:w="100" w:type="dxa"/>
            </w:tcMar>
            <w:vAlign w:val="center"/>
          </w:tcPr>
          <w:p>
            <w:pPr>
              <w:spacing w:after="0" w:line="240" w:lineRule="auto"/>
              <w:jc w:val="center"/>
            </w:pPr>
            <w:r>
              <w:rPr>
                <w:rFonts w:ascii="Times New Roman" w:hAnsi="Times New Roman"/>
                <w:sz w:val="18"/>
              </w:rPr>
              <w:t>0.0005</w:t>
            </w:r>
          </w:p>
        </w:tc>
        <w:tc>
          <w:tcPr>
            <w:tcW w:type="dxa" w:w="936"/>
            <w:tcMar>
              <w:top w:w="90" w:type="dxa"/>
              <w:start w:w="100" w:type="dxa"/>
              <w:bottom w:w="90" w:type="dxa"/>
              <w:end w:w="100" w:type="dxa"/>
            </w:tcMar>
            <w:vAlign w:val="center"/>
          </w:tcPr>
          <w:p>
            <w:pPr>
              <w:spacing w:after="0" w:line="240" w:lineRule="auto"/>
              <w:jc w:val="center"/>
            </w:pPr>
            <w:r>
              <w:rPr>
                <w:rFonts w:ascii="Times New Roman" w:hAnsi="Times New Roman"/>
                <w:sz w:val="18"/>
              </w:rPr>
              <w:t>0.0006</w:t>
            </w:r>
          </w:p>
        </w:tc>
        <w:tc>
          <w:tcPr>
            <w:tcW w:type="dxa" w:w="936"/>
            <w:tcMar>
              <w:top w:w="90" w:type="dxa"/>
              <w:start w:w="100" w:type="dxa"/>
              <w:bottom w:w="90" w:type="dxa"/>
              <w:end w:w="100" w:type="dxa"/>
            </w:tcMar>
            <w:vAlign w:val="center"/>
          </w:tcPr>
          <w:p>
            <w:pPr>
              <w:spacing w:after="0" w:line="240" w:lineRule="auto"/>
              <w:jc w:val="center"/>
            </w:pPr>
            <w:r>
              <w:rPr>
                <w:rFonts w:ascii="Times New Roman" w:hAnsi="Times New Roman"/>
                <w:sz w:val="18"/>
              </w:rPr>
              <w:t>0.0004</w:t>
            </w:r>
          </w:p>
        </w:tc>
        <w:tc>
          <w:tcPr>
            <w:tcW w:type="dxa" w:w="5760"/>
            <w:tcMar>
              <w:top w:w="90" w:type="dxa"/>
              <w:start w:w="100" w:type="dxa"/>
              <w:bottom w:w="90" w:type="dxa"/>
              <w:end w:w="100" w:type="dxa"/>
            </w:tcMar>
            <w:vAlign w:val="center"/>
          </w:tcPr>
          <w:p>
            <w:pPr>
              <w:spacing w:after="0" w:line="240" w:lineRule="auto"/>
              <w:jc w:val="left"/>
            </w:pPr>
            <w:r>
              <w:rPr>
                <w:rFonts w:ascii="Times New Roman" w:hAnsi="Times New Roman"/>
                <w:sz w:val="18"/>
              </w:rPr>
              <w:t>Statistically detectable but practically negligible</w:t>
            </w:r>
          </w:p>
        </w:tc>
      </w:tr>
      <w:tr>
        <w:trPr>
          <w:cantSplit/>
        </w:trPr>
        <w:tc>
          <w:tcPr>
            <w:tcW w:type="dxa" w:w="1944"/>
            <w:tcMar>
              <w:top w:w="90" w:type="dxa"/>
              <w:start w:w="100" w:type="dxa"/>
              <w:bottom w:w="90" w:type="dxa"/>
              <w:end w:w="100" w:type="dxa"/>
            </w:tcMar>
            <w:shd w:fill="F7F9FC"/>
            <w:vAlign w:val="center"/>
          </w:tcPr>
          <w:p>
            <w:pPr>
              <w:spacing w:after="0" w:line="240" w:lineRule="auto"/>
              <w:jc w:val="left"/>
            </w:pPr>
            <w:r>
              <w:rPr>
                <w:rFonts w:ascii="Times New Roman" w:hAnsi="Times New Roman"/>
                <w:sz w:val="18"/>
              </w:rPr>
              <w:t>p1 and p2 linear</w:t>
            </w:r>
          </w:p>
        </w:tc>
        <w:tc>
          <w:tcPr>
            <w:tcW w:type="dxa" w:w="936"/>
            <w:tcMar>
              <w:top w:w="90" w:type="dxa"/>
              <w:start w:w="100" w:type="dxa"/>
              <w:bottom w:w="90" w:type="dxa"/>
              <w:end w:w="100" w:type="dxa"/>
            </w:tcMar>
            <w:shd w:fill="F7F9FC"/>
            <w:vAlign w:val="center"/>
          </w:tcPr>
          <w:p>
            <w:pPr>
              <w:spacing w:after="0" w:line="240" w:lineRule="auto"/>
              <w:jc w:val="center"/>
            </w:pPr>
            <w:r>
              <w:rPr>
                <w:rFonts w:ascii="Times New Roman" w:hAnsi="Times New Roman"/>
                <w:sz w:val="18"/>
              </w:rPr>
              <w:t>about 0</w:t>
            </w:r>
          </w:p>
        </w:tc>
        <w:tc>
          <w:tcPr>
            <w:tcW w:type="dxa" w:w="936"/>
            <w:tcMar>
              <w:top w:w="90" w:type="dxa"/>
              <w:start w:w="100" w:type="dxa"/>
              <w:bottom w:w="90" w:type="dxa"/>
              <w:end w:w="100" w:type="dxa"/>
            </w:tcMar>
            <w:shd w:fill="F7F9FC"/>
            <w:vAlign w:val="center"/>
          </w:tcPr>
          <w:p>
            <w:pPr>
              <w:spacing w:after="0" w:line="240" w:lineRule="auto"/>
              <w:jc w:val="center"/>
            </w:pPr>
            <w:r>
              <w:rPr>
                <w:rFonts w:ascii="Times New Roman" w:hAnsi="Times New Roman"/>
                <w:sz w:val="18"/>
              </w:rPr>
              <w:t>about 0</w:t>
            </w:r>
          </w:p>
        </w:tc>
        <w:tc>
          <w:tcPr>
            <w:tcW w:type="dxa" w:w="936"/>
            <w:tcMar>
              <w:top w:w="90" w:type="dxa"/>
              <w:start w:w="100" w:type="dxa"/>
              <w:bottom w:w="90" w:type="dxa"/>
              <w:end w:w="100" w:type="dxa"/>
            </w:tcMar>
            <w:shd w:fill="F7F9FC"/>
            <w:vAlign w:val="center"/>
          </w:tcPr>
          <w:p>
            <w:pPr>
              <w:spacing w:after="0" w:line="240" w:lineRule="auto"/>
              <w:jc w:val="center"/>
            </w:pPr>
            <w:r>
              <w:rPr>
                <w:rFonts w:ascii="Times New Roman" w:hAnsi="Times New Roman"/>
                <w:sz w:val="18"/>
              </w:rPr>
              <w:t>about 0</w:t>
            </w:r>
          </w:p>
        </w:tc>
        <w:tc>
          <w:tcPr>
            <w:tcW w:type="dxa" w:w="5760"/>
            <w:tcMar>
              <w:top w:w="90" w:type="dxa"/>
              <w:start w:w="100" w:type="dxa"/>
              <w:bottom w:w="90" w:type="dxa"/>
              <w:end w:w="100" w:type="dxa"/>
            </w:tcMar>
            <w:shd w:fill="F7F9FC"/>
            <w:vAlign w:val="center"/>
          </w:tcPr>
          <w:p>
            <w:pPr>
              <w:spacing w:after="0" w:line="240" w:lineRule="auto"/>
              <w:jc w:val="left"/>
            </w:pPr>
            <w:r>
              <w:rPr>
                <w:rFonts w:ascii="Times New Roman" w:hAnsi="Times New Roman"/>
                <w:sz w:val="18"/>
              </w:rPr>
              <w:t>No meaningful linear main effect in A or B</w:t>
            </w:r>
          </w:p>
        </w:tc>
      </w:tr>
    </w:tbl>
    <w:p>
      <w:pPr>
        <w:pStyle w:val="NormalWeb"/>
        <w:spacing w:after="20"/>
      </w:pPr>
    </w:p>
    <w:p>
      <w:pPr>
        <w:pStyle w:val="NormalWeb"/>
      </w:pPr>
      <w:r>
        <w:t>Code C2 shows that factors can strongly affect pairwise gaps even when their global main effects are small. Across the ten pairwise MANOVAs, the median Pillai values were 0.181 for sigma, 0.047 for G, 0.038 for mean sample size, 0.023 for theta_true, 0.019 for design block, 0.019 for p2, 0.008 for p1, and 0.0008 for theta_CV. Sigma was the dominant modifier overall, but the iv-versus-iii comparison was driven most strongly by theta_true, mean sample size, and G. This pattern reinforces the need to distinguish factors that change the general difficulty of estimation from factors that change which method performs best.</w:t>
      </w:r>
    </w:p>
    <w:p>
      <w:pPr>
        <w:pStyle w:val="Heading1"/>
        <w:keepNext/>
      </w:pPr>
      <w:r>
        <w:t>8 Nonlinear effects of simplex location</w:t>
      </w:r>
    </w:p>
    <w:p>
      <w:pPr>
        <w:pStyle w:val="NormalWeb"/>
      </w:pPr>
      <w:r>
        <w:t>Linear terms understate the role of simplex location. Codes A and B found no meaningful linear p1 or p2 main effects, but the global GAM detected significant method-specific smooths of p1 and p2 for methods i, iii, iv, and v. Effective degrees of freedom ranged from 6.43 for v to 12.40 for i, indicating nonlinear surfaces rather than simple monotone trends. Method ii was the exception; its smooth was not significant, p = 0.739. The global GAM explained 62.4% of deviance, and all basis-dimension checks had k-index values near 1 with non-small p values.</w:t>
      </w:r>
    </w:p>
    <w:p>
      <w:pPr>
        <w:pStyle w:val="NormalWeb"/>
      </w:pPr>
      <w:r>
        <w:t>The v-minus-iii GAM confirms that simplex location changes the small gap between the two leading methods. Smooths were significant for RMSE, L1, and Linf, and the model explained 39.1% of deviance in the absolute difference. Sigma had by far the largest parametric t statistic in this difference model, while design block, theta_true, G, theta_CV, and mean sample size also contributed. Consequently, the overall advantage of v should be treated as an average over the design rather than a uniform superiority at every composition.</w:t>
      </w:r>
    </w:p>
    <w:p>
      <w:pPr>
        <w:pStyle w:val="Heading1"/>
        <w:keepNext/>
      </w:pPr>
      <w:r>
        <w:t>9 Statistical interpretation and limitations</w:t>
      </w:r>
    </w:p>
    <w:p>
      <w:pPr>
        <w:pStyle w:val="NormalWeb"/>
      </w:pPr>
      <w:r>
        <w:t>The very large effective sample sizes make statistical significance easy to obtain. Practical interpretation should therefore rely on effect sizes, percentage changes, adjusted comparisons, and consistency across analyses. This principle is especially important for the v-versus-iii comparison, where the multivariate difference is highly significant but the global change in each error metric is below 0.7%.</w:t>
      </w:r>
    </w:p>
    <w:p>
      <w:pPr>
        <w:pStyle w:val="NormalWeb"/>
      </w:pPr>
      <w:r>
        <w:t>Each analysis also has a specific limitation. Code A used a reproducible sample and sequential sums of squares. Code B used a reproducible sample of complete simplex groups and evaluated EMMs at one reference condition. Codes C1 and C2 used matched rows and therefore provide strong comparisons within the represented design, but they do not by themselves model simplex-level random effects. Code E imposed linear trends on the nonsmooth design covariates and modeled nonlinear location only through p1 and p2. These limitations are partly offset by the convergence of results across the five approaches.</w:t>
      </w:r>
    </w:p>
    <w:p>
      <w:pPr>
        <w:pStyle w:val="NormalWeb"/>
      </w:pPr>
      <w:r>
        <w:t>A confirmatory selection analysis should report method contrasts within sigma, G, mean sample size, design block, and scientifically relevant regions of the simplex. It should also define a practical-equivalence margin and calculate the proportion of design cells in which each method is best or practically tied for best. That analysis would determine whether the small average advantage of v over iii is operationally meaningful for the intended applications.</w:t>
      </w:r>
    </w:p>
    <w:p>
      <w:pPr>
        <w:pStyle w:val="Heading1"/>
        <w:keepNext/>
      </w:pPr>
      <w:r>
        <w:t>10 Concluding assessment</w:t>
      </w:r>
    </w:p>
    <w:p>
      <w:pPr>
        <w:pStyle w:val="NormalWeb"/>
      </w:pPr>
      <w:r>
        <w:t>The best-supported conclusion is that methods v and iii form the leading performance tier, with v receiving the first rank because it has the lowest global paired RMSE, L1, and Linf and the largest average improvement over methods i and ii. Method iii is a close second and is preferable in some metric-specific and conditional analyses; the global advantage of v over iii is less than 1% for every metric. Method iv ranks third because it improves consistently on i and ii but remains behind v and iii in the matched global results. Method i is an intermediate benchmark that can be competitive under high dispersion. Method ii ranks fifth because its favorable RMSE result at one low-dispersion reference condition does not persist across the full factorial design.</w:t>
      </w:r>
    </w:p>
    <w:sectPr w:rsidR="003C743F" w:rsidRPr="003507AF" w:rsidSect="002E36FF">
      <w:headerReference w:type="default" r:id="rId6"/>
      <w:footerReference w:type="default" r:id="rId7"/>
      <w:pgSz w:w="12240" w:h="15840"/>
      <w:pgMar w:top="792" w:right="864" w:bottom="792" w:left="864"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95959"/>
        <w:sz w:val="16"/>
      </w:rPr>
      <w:t xml:space="preserve">Integrated compositional likelihood analysis  |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46B6"/>
    <w:rsid w:val="001C46B6"/>
    <w:rsid w:val="002C3BBF"/>
    <w:rsid w:val="002E36FF"/>
    <w:rsid w:val="003507AF"/>
    <w:rsid w:val="003C743F"/>
    <w:rsid w:val="00742C00"/>
    <w:rsid w:val="007476D4"/>
    <w:rsid w:val="008207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F670E"/>
  <w15:chartTrackingRefBased/>
  <w15:docId w15:val="{1351FBC4-7B8A-4341-9E3E-071006C6B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color w:val="000000"/>
      <w:sz w:val="22"/>
    </w:rPr>
  </w:style>
  <w:style w:type="paragraph" w:styleId="Heading1">
    <w:name w:val="heading 1"/>
    <w:basedOn w:val="Normal"/>
    <w:next w:val="Normal"/>
    <w:link w:val="Heading1Char"/>
    <w:uiPriority w:val="9"/>
    <w:qFormat/>
    <w:rsid w:val="003507AF"/>
    <w:pPr>
      <w:keepNext/>
      <w:keepLines/>
      <w:spacing w:before="240" w:after="80"/>
      <w:outlineLvl w:val="0"/>
    </w:pPr>
    <w:rPr>
      <w:rFonts w:asciiTheme="majorHAnsi" w:eastAsiaTheme="majorEastAsia" w:hAnsiTheme="majorHAnsi" w:cstheme="majorBidi" w:ascii="Times New Roman" w:hAnsi="Times New Roman"/>
      <w:b/>
      <w:color w:val="000000"/>
      <w:sz w:val="32"/>
      <w:szCs w:val="32"/>
    </w:rPr>
  </w:style>
  <w:style w:type="paragraph" w:styleId="Heading2">
    <w:name w:val="heading 2"/>
    <w:basedOn w:val="Normal"/>
    <w:link w:val="Heading2Char"/>
    <w:uiPriority w:val="9"/>
    <w:qFormat/>
    <w:rsid w:val="001C46B6"/>
    <w:pPr>
      <w:keepNext/>
      <w:spacing w:before="160" w:beforeAutospacing="1" w:after="60" w:afterAutospacing="1" w:line="240" w:lineRule="auto"/>
      <w:outlineLvl w:val="1"/>
    </w:pPr>
    <w:rPr>
      <w:rFonts w:ascii="Times New Roman" w:eastAsia="Times New Roman" w:hAnsi="Times New Roman" w:cs="Times New Roman"/>
      <w:b/>
      <w:bCs/>
      <w:color w:val="000000"/>
      <w:sz w:val="26"/>
      <w:szCs w:val="36"/>
    </w:rPr>
  </w:style>
  <w:style w:type="paragraph" w:styleId="Heading3">
    <w:name w:val="heading 3"/>
    <w:basedOn w:val="Normal"/>
    <w:next w:val="Normal"/>
    <w:link w:val="Heading3Char"/>
    <w:uiPriority w:val="9"/>
    <w:semiHidden/>
    <w:unhideWhenUsed/>
    <w:qFormat/>
    <w:rsid w:val="002C3BBF"/>
    <w:pPr>
      <w:keepNext/>
      <w:keepLines/>
      <w:spacing w:before="120" w:after="40"/>
      <w:outlineLvl w:val="2"/>
    </w:pPr>
    <w:rPr>
      <w:rFonts w:asciiTheme="majorHAnsi" w:eastAsiaTheme="majorEastAsia" w:hAnsiTheme="majorHAnsi" w:cstheme="majorBidi" w:ascii="Times New Roman" w:hAnsi="Times New Roman"/>
      <w:b/>
      <w:color w:val="00000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C46B6"/>
    <w:rPr>
      <w:rFonts w:ascii="Times New Roman" w:eastAsia="Times New Roman" w:hAnsi="Times New Roman" w:cs="Times New Roman"/>
      <w:b/>
      <w:bCs/>
      <w:sz w:val="36"/>
      <w:szCs w:val="36"/>
    </w:rPr>
  </w:style>
  <w:style w:type="paragraph" w:styleId="NormalWeb">
    <w:name w:val="Normal (Web)"/>
    <w:basedOn w:val="Normal"/>
    <w:uiPriority w:val="99"/>
    <w:unhideWhenUsed/>
    <w:rsid w:val="001C46B6"/>
    <w:pPr>
      <w:spacing w:before="0" w:beforeAutospacing="1" w:after="100" w:afterAutospacing="1" w:line="247" w:lineRule="auto"/>
    </w:pPr>
    <w:rPr>
      <w:rFonts w:ascii="Times New Roman" w:eastAsia="Times New Roman" w:hAnsi="Times New Roman" w:cs="Times New Roman"/>
      <w:color w:val="000000"/>
      <w:sz w:val="22"/>
      <w:szCs w:val="24"/>
    </w:rPr>
  </w:style>
  <w:style w:type="character" w:styleId="Strong">
    <w:name w:val="Strong"/>
    <w:basedOn w:val="DefaultParagraphFont"/>
    <w:uiPriority w:val="22"/>
    <w:qFormat/>
    <w:rsid w:val="001C46B6"/>
    <w:rPr>
      <w:b/>
      <w:bCs/>
    </w:rPr>
  </w:style>
  <w:style w:type="character" w:styleId="HTMLCode">
    <w:name w:val="HTML Code"/>
    <w:basedOn w:val="DefaultParagraphFont"/>
    <w:uiPriority w:val="99"/>
    <w:semiHidden/>
    <w:unhideWhenUsed/>
    <w:rsid w:val="001C46B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C46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C46B6"/>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2C3BBF"/>
    <w:rPr>
      <w:rFonts w:asciiTheme="majorHAnsi" w:eastAsiaTheme="majorEastAsia" w:hAnsiTheme="majorHAnsi" w:cstheme="majorBidi"/>
      <w:color w:val="1F3763" w:themeColor="accent1" w:themeShade="7F"/>
      <w:sz w:val="24"/>
      <w:szCs w:val="24"/>
    </w:rPr>
  </w:style>
  <w:style w:type="character" w:customStyle="1" w:styleId="Heading1Char">
    <w:name w:val="Heading 1 Char"/>
    <w:basedOn w:val="DefaultParagraphFont"/>
    <w:link w:val="Heading1"/>
    <w:uiPriority w:val="9"/>
    <w:rsid w:val="003507AF"/>
    <w:rPr>
      <w:rFonts w:asciiTheme="majorHAnsi" w:eastAsiaTheme="majorEastAsia" w:hAnsiTheme="majorHAnsi" w:cstheme="majorBidi"/>
      <w:color w:val="2F5496" w:themeColor="accent1" w:themeShade="BF"/>
      <w:sz w:val="32"/>
      <w:szCs w:val="32"/>
    </w:rPr>
  </w:style>
  <w:style w:type="paragraph" w:customStyle="1" w:styleId="Title">
    <w:name w:val="Title"/>
    <w:pPr>
      <w:keepNext/>
      <w:spacing w:after="80"/>
    </w:pPr>
    <w:rPr>
      <w:rFonts w:ascii="Times New Roman" w:hAnsi="Times New Roman"/>
      <w:b/>
      <w:color w:val="000000"/>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5211888">
      <w:bodyDiv w:val="1"/>
      <w:marLeft w:val="0"/>
      <w:marRight w:val="0"/>
      <w:marTop w:val="0"/>
      <w:marBottom w:val="0"/>
      <w:divBdr>
        <w:top w:val="none" w:sz="0" w:space="0" w:color="auto"/>
        <w:left w:val="none" w:sz="0" w:space="0" w:color="auto"/>
        <w:bottom w:val="none" w:sz="0" w:space="0" w:color="auto"/>
        <w:right w:val="none" w:sz="0" w:space="0" w:color="auto"/>
      </w:divBdr>
    </w:div>
    <w:div w:id="800613400">
      <w:bodyDiv w:val="1"/>
      <w:marLeft w:val="0"/>
      <w:marRight w:val="0"/>
      <w:marTop w:val="0"/>
      <w:marBottom w:val="0"/>
      <w:divBdr>
        <w:top w:val="none" w:sz="0" w:space="0" w:color="auto"/>
        <w:left w:val="none" w:sz="0" w:space="0" w:color="auto"/>
        <w:bottom w:val="none" w:sz="0" w:space="0" w:color="auto"/>
        <w:right w:val="none" w:sz="0" w:space="0" w:color="auto"/>
      </w:divBdr>
    </w:div>
    <w:div w:id="914707762">
      <w:bodyDiv w:val="1"/>
      <w:marLeft w:val="0"/>
      <w:marRight w:val="0"/>
      <w:marTop w:val="0"/>
      <w:marBottom w:val="0"/>
      <w:divBdr>
        <w:top w:val="none" w:sz="0" w:space="0" w:color="auto"/>
        <w:left w:val="none" w:sz="0" w:space="0" w:color="auto"/>
        <w:bottom w:val="none" w:sz="0" w:space="0" w:color="auto"/>
        <w:right w:val="none" w:sz="0" w:space="0" w:color="auto"/>
      </w:divBdr>
    </w:div>
    <w:div w:id="1296372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5</Pages>
  <Words>1763</Words>
  <Characters>10050</Characters>
  <Application>Microsoft Office Word</Application>
  <DocSecurity>0</DocSecurity>
  <Lines>83</Lines>
  <Paragraphs>23</Paragraphs>
  <ScaleCrop>false</ScaleCrop>
  <Company/>
  <LinksUpToDate>false</LinksUpToDate>
  <CharactersWithSpaces>11790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Integrated Statistical Analysis of Compositional Likelihood Estimation Accuracy</dc:title>
  <dc:subject>Synthesis of Codes A B C1 C2 and E</dc:subject>
  <dc:creator/>
  <cp:keywords>compositional likelihood, RMSE, L1, Linf, MANOVA, mixed effects, GAM</cp:keywords>
  <dc:description/>
  <cp:lastModifiedBy>Jon Brodziak</cp:lastModifiedBy>
  <cp:revision>6</cp:revision>
  <dcterms:created xsi:type="dcterms:W3CDTF">2026-05-13T03:27:00Z</dcterms:created>
  <dcterms:modified xsi:type="dcterms:W3CDTF">2026-05-21T03:06:00Z</dcterms:modified>
</cp:coreProperties>
</file>