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Heading2"/>
        <w:spacing w:after="100" w:line="252" w:lineRule="auto"/>
      </w:pPr>
      <w:r>
        <w:t>Statistical analysis of estimation accuracy: code-A</w:t>
      </w:r>
    </w:p>
    <w:p>
      <w:pPr>
        <w:pStyle w:val="NormalWeb"/>
        <w:spacing w:after="100" w:line="252" w:lineRule="auto"/>
      </w:pPr>
      <w:r>
        <w:t>Analysis based on results-code-A.txt (run July 31, 2026) and formatted to match the supplied summary document.</w:t>
      </w:r>
    </w:p>
    <w:p>
      <w:pPr>
        <w:pStyle w:val="Heading1"/>
        <w:spacing w:after="100" w:line="252" w:lineRule="auto"/>
      </w:pPr>
      <w:r>
        <w:t>Preliminary statistical clarification</w:t>
      </w:r>
    </w:p>
    <w:p>
      <w:pPr>
        <w:pStyle w:val="NormalWeb"/>
        <w:spacing w:after="100" w:line="252" w:lineRule="auto"/>
      </w:pPr>
      <w:r>
        <w:t>The reported analysis is a factorial MANOVA/ANOVA, not a simple one-way MANOVA. The models include method, seven categorical experimental factors or design variables, the continuous covariates p1 and p2, and method-by-condition interactions. The multivariate response is cbind(log_rmse, log_L1); log_Linf is analyzed separately by a univariate linear model. The output reports Pillai’s trace rather than Wilks’ Lambda, so the interpretation below uses Pillai’s trace and does not infer an unreported Wilks statistic.</w:t>
      </w:r>
    </w:p>
    <w:p>
      <w:pPr>
        <w:pStyle w:val="NormalWeb"/>
        <w:spacing w:after="100" w:line="252" w:lineRule="auto"/>
      </w:pPr>
      <w:r>
        <w:t>The memory-safe analysis used a fixed random sample of 500,000 rows (seed 20260730). Consequently, the reported inferential results characterize that sampled analysis rather than an exact fit to every available row. The design represented five methods; three design blocks (Lognormal, Negative binomial, and Poisson); G = 2, 4, or 8; theta_true = 0.5, 1, or 2; theta_CV = 0, 0.2, or 0.6; sigma = 0.25, 0.5, or 1; and mean_nsamp = 25, 50, or 100. The Log-uniform block is not present in this analysis.</w:t>
      </w:r>
    </w:p>
    <w:p>
      <w:pPr>
        <w:pStyle w:val="Heading1"/>
        <w:spacing w:after="100" w:line="252" w:lineRule="auto"/>
      </w:pPr>
      <w:r>
        <w:t>1. Multivariate synthesis: MANOVA</w:t>
      </w:r>
    </w:p>
    <w:p>
      <w:pPr>
        <w:pStyle w:val="NormalWeb"/>
        <w:spacing w:after="100" w:line="252" w:lineRule="auto"/>
      </w:pPr>
      <w:r>
        <w:t>The MANOVA tested whether the five methods differed in their joint accuracy profile defined by log-transformed RMSE and L1 error. The method effect was highly significant, Pillai = 0.017701, approximate F(8, 999850) = 1116, p &lt; 2 × 10⁻¹⁶. The null hypothesis that all five methods share the same joint RMSE–L1 profile is therefore rejected.</w:t>
      </w:r>
    </w:p>
    <w:p>
      <w:pPr>
        <w:pStyle w:val="NormalWeb"/>
        <w:spacing w:after="100" w:line="252" w:lineRule="auto"/>
      </w:pPr>
      <w:r>
        <w:t>Method was not the dominant multivariate influence. The largest Pillai trace was for G (0.268621), followed by sigma (0.238407), mean_nsamp (0.072059), design_block (0.019065), theta_true (0.017770), and method (0.017701). Theta_CV had a much smaller but statistically significant effect (0.000790). The continuous variables p1 and p2 were not significant at the 0.05 level (p = 0.154 and 0.772, respectively). Thus, the number of groups and the dispersion parameter shaped the combined error profile far more strongly than method choice alone.</w:t>
      </w:r>
    </w:p>
    <w:p>
      <w:pPr>
        <w:pStyle w:val="NormalWeb"/>
        <w:spacing w:after="100" w:line="252" w:lineRule="auto"/>
      </w:pPr>
      <w:r>
        <w:t>The strongest method-dependent multivariate effect was method:sigma, Pillai = 0.008052, p &lt; 2 × 10⁻¹⁶. The next largest interactions were method:G (0.002646), method:mean_nsamp (0.001087), method:theta_true (0.000944), and method:design_block (0.000680). Method:theta_CV was statistically significant but very small (0.000063, p = 0.0117); method:p1 and method:p2 were not significant. Therefore, the relative performance of methods changes primarily with sigma and G, and to a lesser extent with sample size, theta_true, and distributional block.</w:t>
      </w:r>
    </w:p>
    <w:p>
      <w:pPr>
        <w:pStyle w:val="NormalWeb"/>
        <w:spacing w:after="100" w:line="252" w:lineRule="auto"/>
      </w:pPr>
      <w:r>
        <w:t>Interpretation: the five methods have distinguishable multivariate accuracy profiles, but accuracy is governed principally by the experimental conditions. The significant method:sigma and method:G interactions preclude interpreting the method main effect as a universal ranking across all conditions.</w:t>
      </w:r>
    </w:p>
    <w:p>
      <w:pPr>
        <w:pStyle w:val="Heading1"/>
        <w:spacing w:after="100" w:line="252" w:lineRule="auto"/>
      </w:pPr>
      <w:r>
        <w:t>2. Univariate decomposition: factorial ANOVAs</w:t>
      </w:r>
    </w:p>
    <w:p>
      <w:pPr>
        <w:pStyle w:val="Heading2"/>
        <w:spacing w:after="100" w:line="252" w:lineRule="auto"/>
      </w:pPr>
      <w:r>
        <w:t>log_rmse</w:t>
      </w:r>
    </w:p>
    <w:p>
      <w:pPr>
        <w:pStyle w:val="NormalWeb"/>
        <w:spacing w:after="100" w:line="252" w:lineRule="auto"/>
      </w:pPr>
      <w:r>
        <w:t>All major categorical main effects were significant for log_rmse. G was the largest source of explained variation (SS = 113.33, F = 60,290), closely followed by sigma (SS = 107.63, F = 57,262). Mean sample size was third (SS = 16.62, F = 8,844), followed by design_block (SS = 6.88, F = 3,662), method (SS = 6.48, F = 1,722), and theta_true (SS = 4.13, F = 2,198). Theta_CV was significant but small. Neither p1 nor p2 was significant.</w:t>
      </w:r>
    </w:p>
    <w:p>
      <w:pPr>
        <w:pStyle w:val="NormalWeb"/>
        <w:spacing w:after="100" w:line="252" w:lineRule="auto"/>
      </w:pPr>
      <w:r>
        <w:t>The largest interaction was method:sigma (SS = 3.66, F = 486.97), followed by method:G (SS = 0.96, F = 127.20). Method:mean_nsamp, method:theta_true, and method:design_block were also significant but substantially smaller. This shows that methods differ most in their response to increasing dispersion and changes in G. The method-by-sample-size interaction is real, but it is much weaker than the method-by-sigma interaction.</w:t>
      </w:r>
    </w:p>
    <w:p>
      <w:pPr>
        <w:pStyle w:val="Heading2"/>
        <w:spacing w:after="100" w:line="252" w:lineRule="auto"/>
      </w:pPr>
      <w:r>
        <w:t>log_L1</w:t>
      </w:r>
    </w:p>
    <w:p>
      <w:pPr>
        <w:pStyle w:val="NormalWeb"/>
        <w:spacing w:after="100" w:line="252" w:lineRule="auto"/>
      </w:pPr>
      <w:r>
        <w:t>The log_L1 ANOVA produced the same broad hierarchy. G was largest (SS = 1,655.3, F = 78,353), followed by sigma (SS = 1,499.8, F = 70,994), mean_nsamp (SS = 283.0, F = 13,396), design_block (SS = 94.9, F = 4,490), method (SS = 82.4, F = 1,951), and theta_true (SS = 68.6, F = 3,247). Theta_CV was significant but small; p1 and p2 were not significant.</w:t>
      </w:r>
    </w:p>
    <w:p>
      <w:pPr>
        <w:pStyle w:val="NormalWeb"/>
        <w:spacing w:after="100" w:line="252" w:lineRule="auto"/>
      </w:pPr>
      <w:r>
        <w:t>Method:sigma was again the dominant interaction (SS = 37.7, F = 445.60), followed by method:G (SS = 8.2, F = 97.18). Method:mean_nsamp, method:theta_true, and method:design_block had similar smaller magnitudes. The agreement between RMSE and L1 indicates that the principal conclusions are not specific to one scalar error norm.</w:t>
      </w:r>
    </w:p>
    <w:p>
      <w:pPr>
        <w:pStyle w:val="Heading2"/>
        <w:spacing w:after="100" w:line="252" w:lineRule="auto"/>
      </w:pPr>
      <w:r>
        <w:t>log_Linf</w:t>
      </w:r>
    </w:p>
    <w:p>
      <w:pPr>
        <w:pStyle w:val="NormalWeb"/>
        <w:spacing w:after="100" w:line="252" w:lineRule="auto"/>
      </w:pPr>
      <w:r>
        <w:t>For log_Linf, G (SS = 331.83, F = 48,661) and sigma (SS = 329.09, F = 48,258) were nearly equal and overwhelmingly dominant. Mean_nsamp ranked third (SS = 44.57, F = 6,535), followed by design_block (SS = 20.80, F = 3,050), method (SS = 19.42, F = 1,424), and theta_true (SS = 11.33, F = 1,662). Theta_CV was again small. Neither p1 nor p2 was significant. The model R² was 0.3130, indicating that the fitted factorial structure explained about 31.3% of the sampled variation in transformed maximum absolute error.</w:t>
      </w:r>
    </w:p>
    <w:p>
      <w:pPr>
        <w:pStyle w:val="NormalWeb"/>
        <w:spacing w:after="100" w:line="252" w:lineRule="auto"/>
      </w:pPr>
      <w:r>
        <w:t>The dominant interaction was method:sigma (SS = 12.08, F = 442.98), followed by method:G (SS = 3.36, F = 123.09). Method:mean_nsamp, method:theta_true, and method:design_block were significant but much smaller. Method:theta_CV was statistically significant (p = 0.0089) but negligible in practical magnitude; method:p1 and method:p2 were not significant.</w:t>
      </w:r>
    </w:p>
    <w:p>
      <w:pPr>
        <w:pStyle w:val="Heading1"/>
        <w:spacing w:after="100" w:line="252" w:lineRule="auto"/>
      </w:pPr>
      <w:r>
        <w:t>3. Effect size and hierarchy of influence</w:t>
      </w:r>
    </w:p>
    <w:p>
      <w:pPr>
        <w:pStyle w:val="NormalWeb"/>
        <w:spacing w:after="100" w:line="252" w:lineRule="auto"/>
      </w:pPr>
      <w:r>
        <w:t>Partial eta squared was calculated as η²p = SS_effect /(SS_effect + SS_residual). Because the design is extremely large, practical interpretation should emphasize effect size rather than p-values alone.</w:t>
      </w:r>
    </w:p>
    <w:tbl>
      <w:tblPr>
        <w:tblW w:type="auto" w:w="0"/>
        <w:jc w:val="center"/>
        <w:tblLook w:firstColumn="1" w:firstRow="1" w:lastColumn="0" w:lastRow="0" w:noHBand="0" w:noVBand="1" w:val="04A0"/>
      </w:tblPr>
      <w:tblGrid>
        <w:gridCol w:w="1543"/>
        <w:gridCol w:w="1543"/>
        <w:gridCol w:w="1543"/>
        <w:gridCol w:w="1543"/>
        <w:gridCol w:w="1543"/>
        <w:gridCol w:w="1543"/>
        <w:gridCol w:w="1543"/>
      </w:tblGrid>
      <w:tr>
        <w:tc>
          <w:tcPr>
            <w:tcW w:type="dxa" w:w="648"/>
            <w:shd w:fill="D9EAF7"/>
            <w:vAlign w:val="center"/>
          </w:tcPr>
          <w:p>
            <w:pPr>
              <w:spacing w:after="0"/>
            </w:pPr>
            <w:r>
              <w:rPr>
                <w:b/>
                <w:sz w:val="16"/>
              </w:rPr>
              <w:t>Rank</w:t>
            </w:r>
          </w:p>
        </w:tc>
        <w:tc>
          <w:tcPr>
            <w:tcW w:type="dxa" w:w="1512"/>
            <w:shd w:fill="D9EAF7"/>
            <w:vAlign w:val="center"/>
          </w:tcPr>
          <w:p>
            <w:pPr>
              <w:spacing w:after="0"/>
            </w:pPr>
            <w:r>
              <w:rPr>
                <w:b/>
                <w:sz w:val="16"/>
              </w:rPr>
              <w:t>Factor</w:t>
            </w:r>
          </w:p>
        </w:tc>
        <w:tc>
          <w:tcPr>
            <w:tcW w:type="dxa" w:w="1224"/>
            <w:shd w:fill="D9EAF7"/>
            <w:vAlign w:val="center"/>
          </w:tcPr>
          <w:p>
            <w:pPr>
              <w:spacing w:after="0"/>
            </w:pPr>
            <w:r>
              <w:rPr>
                <w:b/>
                <w:sz w:val="16"/>
              </w:rPr>
              <w:t>log_RMSE η²p</w:t>
            </w:r>
          </w:p>
        </w:tc>
        <w:tc>
          <w:tcPr>
            <w:tcW w:type="dxa" w:w="1080"/>
            <w:shd w:fill="D9EAF7"/>
            <w:vAlign w:val="center"/>
          </w:tcPr>
          <w:p>
            <w:pPr>
              <w:spacing w:after="0"/>
            </w:pPr>
            <w:r>
              <w:rPr>
                <w:b/>
                <w:sz w:val="16"/>
              </w:rPr>
              <w:t>log_L1 η²p</w:t>
            </w:r>
          </w:p>
        </w:tc>
        <w:tc>
          <w:tcPr>
            <w:tcW w:type="dxa" w:w="1152"/>
            <w:shd w:fill="D9EAF7"/>
            <w:vAlign w:val="center"/>
          </w:tcPr>
          <w:p>
            <w:pPr>
              <w:spacing w:after="0"/>
            </w:pPr>
            <w:r>
              <w:rPr>
                <w:b/>
                <w:sz w:val="16"/>
              </w:rPr>
              <w:t>log_Linf η²p</w:t>
            </w:r>
          </w:p>
        </w:tc>
        <w:tc>
          <w:tcPr>
            <w:tcW w:type="dxa" w:w="1080"/>
            <w:shd w:fill="D9EAF7"/>
            <w:vAlign w:val="center"/>
          </w:tcPr>
          <w:p>
            <w:pPr>
              <w:spacing w:after="0"/>
            </w:pPr>
            <w:r>
              <w:rPr>
                <w:b/>
                <w:sz w:val="16"/>
              </w:rPr>
              <w:t>Average η²p</w:t>
            </w:r>
          </w:p>
        </w:tc>
        <w:tc>
          <w:tcPr>
            <w:tcW w:type="dxa" w:w="1440"/>
            <w:shd w:fill="D9EAF7"/>
            <w:vAlign w:val="center"/>
          </w:tcPr>
          <w:p>
            <w:pPr>
              <w:spacing w:after="0"/>
            </w:pPr>
            <w:r>
              <w:rPr>
                <w:b/>
                <w:sz w:val="16"/>
              </w:rPr>
              <w:t>Interpretation</w:t>
            </w:r>
          </w:p>
        </w:tc>
      </w:tr>
      <w:tr>
        <w:tc>
          <w:tcPr>
            <w:tcW w:type="dxa" w:w="648"/>
            <w:vAlign w:val="center"/>
          </w:tcPr>
          <w:p>
            <w:pPr>
              <w:spacing w:after="0"/>
            </w:pPr>
            <w:r>
              <w:rPr>
                <w:sz w:val="16"/>
              </w:rPr>
              <w:t>1</w:t>
            </w:r>
          </w:p>
        </w:tc>
        <w:tc>
          <w:tcPr>
            <w:tcW w:type="dxa" w:w="1512"/>
            <w:vAlign w:val="center"/>
          </w:tcPr>
          <w:p>
            <w:pPr>
              <w:spacing w:after="0"/>
            </w:pPr>
            <w:r>
              <w:rPr>
                <w:sz w:val="16"/>
              </w:rPr>
              <w:t>G</w:t>
            </w:r>
          </w:p>
        </w:tc>
        <w:tc>
          <w:tcPr>
            <w:tcW w:type="dxa" w:w="1224"/>
            <w:vAlign w:val="center"/>
          </w:tcPr>
          <w:p>
            <w:pPr>
              <w:spacing w:after="0"/>
            </w:pPr>
            <w:r>
              <w:rPr>
                <w:sz w:val="16"/>
              </w:rPr>
              <w:t>0.1943</w:t>
            </w:r>
          </w:p>
        </w:tc>
        <w:tc>
          <w:tcPr>
            <w:tcW w:type="dxa" w:w="1080"/>
            <w:vAlign w:val="center"/>
          </w:tcPr>
          <w:p>
            <w:pPr>
              <w:spacing w:after="0"/>
            </w:pPr>
            <w:r>
              <w:rPr>
                <w:sz w:val="16"/>
              </w:rPr>
              <w:t>0.2387</w:t>
            </w:r>
          </w:p>
        </w:tc>
        <w:tc>
          <w:tcPr>
            <w:tcW w:type="dxa" w:w="1152"/>
            <w:vAlign w:val="center"/>
          </w:tcPr>
          <w:p>
            <w:pPr>
              <w:spacing w:after="0"/>
            </w:pPr>
            <w:r>
              <w:rPr>
                <w:sz w:val="16"/>
              </w:rPr>
              <w:t>0.1630</w:t>
            </w:r>
          </w:p>
        </w:tc>
        <w:tc>
          <w:tcPr>
            <w:tcW w:type="dxa" w:w="1080"/>
            <w:vAlign w:val="center"/>
          </w:tcPr>
          <w:p>
            <w:pPr>
              <w:spacing w:after="0"/>
            </w:pPr>
            <w:r>
              <w:rPr>
                <w:sz w:val="16"/>
              </w:rPr>
              <w:t>0.1986</w:t>
            </w:r>
          </w:p>
        </w:tc>
        <w:tc>
          <w:tcPr>
            <w:tcW w:type="dxa" w:w="1440"/>
            <w:vAlign w:val="center"/>
          </w:tcPr>
          <w:p>
            <w:pPr>
              <w:spacing w:after="0"/>
            </w:pPr>
            <w:r>
              <w:rPr>
                <w:sz w:val="16"/>
              </w:rPr>
              <w:t>Dominant</w:t>
            </w:r>
          </w:p>
        </w:tc>
      </w:tr>
      <w:tr>
        <w:tc>
          <w:tcPr>
            <w:tcW w:type="dxa" w:w="648"/>
            <w:vAlign w:val="center"/>
          </w:tcPr>
          <w:p>
            <w:pPr>
              <w:spacing w:after="0"/>
            </w:pPr>
            <w:r>
              <w:rPr>
                <w:sz w:val="16"/>
              </w:rPr>
              <w:t>2</w:t>
            </w:r>
          </w:p>
        </w:tc>
        <w:tc>
          <w:tcPr>
            <w:tcW w:type="dxa" w:w="1512"/>
            <w:vAlign w:val="center"/>
          </w:tcPr>
          <w:p>
            <w:pPr>
              <w:spacing w:after="0"/>
            </w:pPr>
            <w:r>
              <w:rPr>
                <w:sz w:val="16"/>
              </w:rPr>
              <w:t>sigma</w:t>
            </w:r>
          </w:p>
        </w:tc>
        <w:tc>
          <w:tcPr>
            <w:tcW w:type="dxa" w:w="1224"/>
            <w:vAlign w:val="center"/>
          </w:tcPr>
          <w:p>
            <w:pPr>
              <w:spacing w:after="0"/>
            </w:pPr>
            <w:r>
              <w:rPr>
                <w:sz w:val="16"/>
              </w:rPr>
              <w:t>0.1864</w:t>
            </w:r>
          </w:p>
        </w:tc>
        <w:tc>
          <w:tcPr>
            <w:tcW w:type="dxa" w:w="1080"/>
            <w:vAlign w:val="center"/>
          </w:tcPr>
          <w:p>
            <w:pPr>
              <w:spacing w:after="0"/>
            </w:pPr>
            <w:r>
              <w:rPr>
                <w:sz w:val="16"/>
              </w:rPr>
              <w:t>0.2212</w:t>
            </w:r>
          </w:p>
        </w:tc>
        <w:tc>
          <w:tcPr>
            <w:tcW w:type="dxa" w:w="1152"/>
            <w:vAlign w:val="center"/>
          </w:tcPr>
          <w:p>
            <w:pPr>
              <w:spacing w:after="0"/>
            </w:pPr>
            <w:r>
              <w:rPr>
                <w:sz w:val="16"/>
              </w:rPr>
              <w:t>0.1618</w:t>
            </w:r>
          </w:p>
        </w:tc>
        <w:tc>
          <w:tcPr>
            <w:tcW w:type="dxa" w:w="1080"/>
            <w:vAlign w:val="center"/>
          </w:tcPr>
          <w:p>
            <w:pPr>
              <w:spacing w:after="0"/>
            </w:pPr>
            <w:r>
              <w:rPr>
                <w:sz w:val="16"/>
              </w:rPr>
              <w:t>0.1898</w:t>
            </w:r>
          </w:p>
        </w:tc>
        <w:tc>
          <w:tcPr>
            <w:tcW w:type="dxa" w:w="1440"/>
            <w:vAlign w:val="center"/>
          </w:tcPr>
          <w:p>
            <w:pPr>
              <w:spacing w:after="0"/>
            </w:pPr>
            <w:r>
              <w:rPr>
                <w:sz w:val="16"/>
              </w:rPr>
              <w:t>Dominant</w:t>
            </w:r>
          </w:p>
        </w:tc>
      </w:tr>
      <w:tr>
        <w:tc>
          <w:tcPr>
            <w:tcW w:type="dxa" w:w="648"/>
            <w:vAlign w:val="center"/>
          </w:tcPr>
          <w:p>
            <w:pPr>
              <w:spacing w:after="0"/>
            </w:pPr>
            <w:r>
              <w:rPr>
                <w:sz w:val="16"/>
              </w:rPr>
              <w:t>3</w:t>
            </w:r>
          </w:p>
        </w:tc>
        <w:tc>
          <w:tcPr>
            <w:tcW w:type="dxa" w:w="1512"/>
            <w:vAlign w:val="center"/>
          </w:tcPr>
          <w:p>
            <w:pPr>
              <w:spacing w:after="0"/>
            </w:pPr>
            <w:r>
              <w:rPr>
                <w:sz w:val="16"/>
              </w:rPr>
              <w:t>mean_nsamp</w:t>
            </w:r>
          </w:p>
        </w:tc>
        <w:tc>
          <w:tcPr>
            <w:tcW w:type="dxa" w:w="1224"/>
            <w:vAlign w:val="center"/>
          </w:tcPr>
          <w:p>
            <w:pPr>
              <w:spacing w:after="0"/>
            </w:pPr>
            <w:r>
              <w:rPr>
                <w:sz w:val="16"/>
              </w:rPr>
              <w:t>0.0342</w:t>
            </w:r>
          </w:p>
        </w:tc>
        <w:tc>
          <w:tcPr>
            <w:tcW w:type="dxa" w:w="1080"/>
            <w:vAlign w:val="center"/>
          </w:tcPr>
          <w:p>
            <w:pPr>
              <w:spacing w:after="0"/>
            </w:pPr>
            <w:r>
              <w:rPr>
                <w:sz w:val="16"/>
              </w:rPr>
              <w:t>0.0509</w:t>
            </w:r>
          </w:p>
        </w:tc>
        <w:tc>
          <w:tcPr>
            <w:tcW w:type="dxa" w:w="1152"/>
            <w:vAlign w:val="center"/>
          </w:tcPr>
          <w:p>
            <w:pPr>
              <w:spacing w:after="0"/>
            </w:pPr>
            <w:r>
              <w:rPr>
                <w:sz w:val="16"/>
              </w:rPr>
              <w:t>0.0255</w:t>
            </w:r>
          </w:p>
        </w:tc>
        <w:tc>
          <w:tcPr>
            <w:tcW w:type="dxa" w:w="1080"/>
            <w:vAlign w:val="center"/>
          </w:tcPr>
          <w:p>
            <w:pPr>
              <w:spacing w:after="0"/>
            </w:pPr>
            <w:r>
              <w:rPr>
                <w:sz w:val="16"/>
              </w:rPr>
              <w:t>0.0368</w:t>
            </w:r>
          </w:p>
        </w:tc>
        <w:tc>
          <w:tcPr>
            <w:tcW w:type="dxa" w:w="1440"/>
            <w:vAlign w:val="center"/>
          </w:tcPr>
          <w:p>
            <w:pPr>
              <w:spacing w:after="0"/>
            </w:pPr>
            <w:r>
              <w:rPr>
                <w:sz w:val="16"/>
              </w:rPr>
              <w:t>Moderate</w:t>
            </w:r>
          </w:p>
        </w:tc>
      </w:tr>
      <w:tr>
        <w:tc>
          <w:tcPr>
            <w:tcW w:type="dxa" w:w="648"/>
            <w:vAlign w:val="center"/>
          </w:tcPr>
          <w:p>
            <w:pPr>
              <w:spacing w:after="0"/>
            </w:pPr>
            <w:r>
              <w:rPr>
                <w:sz w:val="16"/>
              </w:rPr>
              <w:t>4</w:t>
            </w:r>
          </w:p>
        </w:tc>
        <w:tc>
          <w:tcPr>
            <w:tcW w:type="dxa" w:w="1512"/>
            <w:vAlign w:val="center"/>
          </w:tcPr>
          <w:p>
            <w:pPr>
              <w:spacing w:after="0"/>
            </w:pPr>
            <w:r>
              <w:rPr>
                <w:sz w:val="16"/>
              </w:rPr>
              <w:t>design_block</w:t>
            </w:r>
          </w:p>
        </w:tc>
        <w:tc>
          <w:tcPr>
            <w:tcW w:type="dxa" w:w="1224"/>
            <w:vAlign w:val="center"/>
          </w:tcPr>
          <w:p>
            <w:pPr>
              <w:spacing w:after="0"/>
            </w:pPr>
            <w:r>
              <w:rPr>
                <w:sz w:val="16"/>
              </w:rPr>
              <w:t>0.0144</w:t>
            </w:r>
          </w:p>
        </w:tc>
        <w:tc>
          <w:tcPr>
            <w:tcW w:type="dxa" w:w="1080"/>
            <w:vAlign w:val="center"/>
          </w:tcPr>
          <w:p>
            <w:pPr>
              <w:spacing w:after="0"/>
            </w:pPr>
            <w:r>
              <w:rPr>
                <w:sz w:val="16"/>
              </w:rPr>
              <w:t>0.0177</w:t>
            </w:r>
          </w:p>
        </w:tc>
        <w:tc>
          <w:tcPr>
            <w:tcW w:type="dxa" w:w="1152"/>
            <w:vAlign w:val="center"/>
          </w:tcPr>
          <w:p>
            <w:pPr>
              <w:spacing w:after="0"/>
            </w:pPr>
            <w:r>
              <w:rPr>
                <w:sz w:val="16"/>
              </w:rPr>
              <w:t>0.0121</w:t>
            </w:r>
          </w:p>
        </w:tc>
        <w:tc>
          <w:tcPr>
            <w:tcW w:type="dxa" w:w="1080"/>
            <w:vAlign w:val="center"/>
          </w:tcPr>
          <w:p>
            <w:pPr>
              <w:spacing w:after="0"/>
            </w:pPr>
            <w:r>
              <w:rPr>
                <w:sz w:val="16"/>
              </w:rPr>
              <w:t>0.0147</w:t>
            </w:r>
          </w:p>
        </w:tc>
        <w:tc>
          <w:tcPr>
            <w:tcW w:type="dxa" w:w="1440"/>
            <w:vAlign w:val="center"/>
          </w:tcPr>
          <w:p>
            <w:pPr>
              <w:spacing w:after="0"/>
            </w:pPr>
            <w:r>
              <w:rPr>
                <w:sz w:val="16"/>
              </w:rPr>
              <w:t>Moderate</w:t>
            </w:r>
          </w:p>
        </w:tc>
      </w:tr>
      <w:tr>
        <w:tc>
          <w:tcPr>
            <w:tcW w:type="dxa" w:w="648"/>
            <w:vAlign w:val="center"/>
          </w:tcPr>
          <w:p>
            <w:pPr>
              <w:spacing w:after="0"/>
            </w:pPr>
            <w:r>
              <w:rPr>
                <w:sz w:val="16"/>
              </w:rPr>
              <w:t>5</w:t>
            </w:r>
          </w:p>
        </w:tc>
        <w:tc>
          <w:tcPr>
            <w:tcW w:type="dxa" w:w="1512"/>
            <w:vAlign w:val="center"/>
          </w:tcPr>
          <w:p>
            <w:pPr>
              <w:spacing w:after="0"/>
            </w:pPr>
            <w:r>
              <w:rPr>
                <w:sz w:val="16"/>
              </w:rPr>
              <w:t>method</w:t>
            </w:r>
          </w:p>
        </w:tc>
        <w:tc>
          <w:tcPr>
            <w:tcW w:type="dxa" w:w="1224"/>
            <w:vAlign w:val="center"/>
          </w:tcPr>
          <w:p>
            <w:pPr>
              <w:spacing w:after="0"/>
            </w:pPr>
            <w:r>
              <w:rPr>
                <w:sz w:val="16"/>
              </w:rPr>
              <w:t>0.0136</w:t>
            </w:r>
          </w:p>
        </w:tc>
        <w:tc>
          <w:tcPr>
            <w:tcW w:type="dxa" w:w="1080"/>
            <w:vAlign w:val="center"/>
          </w:tcPr>
          <w:p>
            <w:pPr>
              <w:spacing w:after="0"/>
            </w:pPr>
            <w:r>
              <w:rPr>
                <w:sz w:val="16"/>
              </w:rPr>
              <w:t>0.0154</w:t>
            </w:r>
          </w:p>
        </w:tc>
        <w:tc>
          <w:tcPr>
            <w:tcW w:type="dxa" w:w="1152"/>
            <w:vAlign w:val="center"/>
          </w:tcPr>
          <w:p>
            <w:pPr>
              <w:spacing w:after="0"/>
            </w:pPr>
            <w:r>
              <w:rPr>
                <w:sz w:val="16"/>
              </w:rPr>
              <w:t>0.0113</w:t>
            </w:r>
          </w:p>
        </w:tc>
        <w:tc>
          <w:tcPr>
            <w:tcW w:type="dxa" w:w="1080"/>
            <w:vAlign w:val="center"/>
          </w:tcPr>
          <w:p>
            <w:pPr>
              <w:spacing w:after="0"/>
            </w:pPr>
            <w:r>
              <w:rPr>
                <w:sz w:val="16"/>
              </w:rPr>
              <w:t>0.0134</w:t>
            </w:r>
          </w:p>
        </w:tc>
        <w:tc>
          <w:tcPr>
            <w:tcW w:type="dxa" w:w="1440"/>
            <w:vAlign w:val="center"/>
          </w:tcPr>
          <w:p>
            <w:pPr>
              <w:spacing w:after="0"/>
            </w:pPr>
            <w:r>
              <w:rPr>
                <w:sz w:val="16"/>
              </w:rPr>
              <w:t>Small</w:t>
            </w:r>
          </w:p>
        </w:tc>
      </w:tr>
      <w:tr>
        <w:tc>
          <w:tcPr>
            <w:tcW w:type="dxa" w:w="648"/>
            <w:vAlign w:val="center"/>
          </w:tcPr>
          <w:p>
            <w:pPr>
              <w:spacing w:after="0"/>
            </w:pPr>
            <w:r>
              <w:rPr>
                <w:sz w:val="16"/>
              </w:rPr>
              <w:t>6</w:t>
            </w:r>
          </w:p>
        </w:tc>
        <w:tc>
          <w:tcPr>
            <w:tcW w:type="dxa" w:w="1512"/>
            <w:vAlign w:val="center"/>
          </w:tcPr>
          <w:p>
            <w:pPr>
              <w:spacing w:after="0"/>
            </w:pPr>
            <w:r>
              <w:rPr>
                <w:sz w:val="16"/>
              </w:rPr>
              <w:t>theta_true</w:t>
            </w:r>
          </w:p>
        </w:tc>
        <w:tc>
          <w:tcPr>
            <w:tcW w:type="dxa" w:w="1224"/>
            <w:vAlign w:val="center"/>
          </w:tcPr>
          <w:p>
            <w:pPr>
              <w:spacing w:after="0"/>
            </w:pPr>
            <w:r>
              <w:rPr>
                <w:sz w:val="16"/>
              </w:rPr>
              <w:t>0.0087</w:t>
            </w:r>
          </w:p>
        </w:tc>
        <w:tc>
          <w:tcPr>
            <w:tcW w:type="dxa" w:w="1080"/>
            <w:vAlign w:val="center"/>
          </w:tcPr>
          <w:p>
            <w:pPr>
              <w:spacing w:after="0"/>
            </w:pPr>
            <w:r>
              <w:rPr>
                <w:sz w:val="16"/>
              </w:rPr>
              <w:t>0.0128</w:t>
            </w:r>
          </w:p>
        </w:tc>
        <w:tc>
          <w:tcPr>
            <w:tcW w:type="dxa" w:w="1152"/>
            <w:vAlign w:val="center"/>
          </w:tcPr>
          <w:p>
            <w:pPr>
              <w:spacing w:after="0"/>
            </w:pPr>
            <w:r>
              <w:rPr>
                <w:sz w:val="16"/>
              </w:rPr>
              <w:t>0.0066</w:t>
            </w:r>
          </w:p>
        </w:tc>
        <w:tc>
          <w:tcPr>
            <w:tcW w:type="dxa" w:w="1080"/>
            <w:vAlign w:val="center"/>
          </w:tcPr>
          <w:p>
            <w:pPr>
              <w:spacing w:after="0"/>
            </w:pPr>
            <w:r>
              <w:rPr>
                <w:sz w:val="16"/>
              </w:rPr>
              <w:t>0.0094</w:t>
            </w:r>
          </w:p>
        </w:tc>
        <w:tc>
          <w:tcPr>
            <w:tcW w:type="dxa" w:w="1440"/>
            <w:vAlign w:val="center"/>
          </w:tcPr>
          <w:p>
            <w:pPr>
              <w:spacing w:after="0"/>
            </w:pPr>
            <w:r>
              <w:rPr>
                <w:sz w:val="16"/>
              </w:rPr>
              <w:t>Small</w:t>
            </w:r>
          </w:p>
        </w:tc>
      </w:tr>
      <w:tr>
        <w:tc>
          <w:tcPr>
            <w:tcW w:type="dxa" w:w="648"/>
            <w:vAlign w:val="center"/>
          </w:tcPr>
          <w:p>
            <w:pPr>
              <w:spacing w:after="0"/>
            </w:pPr>
            <w:r>
              <w:rPr>
                <w:sz w:val="16"/>
              </w:rPr>
              <w:t>7</w:t>
            </w:r>
          </w:p>
        </w:tc>
        <w:tc>
          <w:tcPr>
            <w:tcW w:type="dxa" w:w="1512"/>
            <w:vAlign w:val="center"/>
          </w:tcPr>
          <w:p>
            <w:pPr>
              <w:spacing w:after="0"/>
            </w:pPr>
            <w:r>
              <w:rPr>
                <w:sz w:val="16"/>
              </w:rPr>
              <w:t>theta_CV</w:t>
            </w:r>
          </w:p>
        </w:tc>
        <w:tc>
          <w:tcPr>
            <w:tcW w:type="dxa" w:w="1224"/>
            <w:vAlign w:val="center"/>
          </w:tcPr>
          <w:p>
            <w:pPr>
              <w:spacing w:after="0"/>
            </w:pPr>
            <w:r>
              <w:rPr>
                <w:sz w:val="16"/>
              </w:rPr>
              <w:t>0.0005</w:t>
            </w:r>
          </w:p>
        </w:tc>
        <w:tc>
          <w:tcPr>
            <w:tcW w:type="dxa" w:w="1080"/>
            <w:vAlign w:val="center"/>
          </w:tcPr>
          <w:p>
            <w:pPr>
              <w:spacing w:after="0"/>
            </w:pPr>
            <w:r>
              <w:rPr>
                <w:sz w:val="16"/>
              </w:rPr>
              <w:t>0.0006</w:t>
            </w:r>
          </w:p>
        </w:tc>
        <w:tc>
          <w:tcPr>
            <w:tcW w:type="dxa" w:w="1152"/>
            <w:vAlign w:val="center"/>
          </w:tcPr>
          <w:p>
            <w:pPr>
              <w:spacing w:after="0"/>
            </w:pPr>
            <w:r>
              <w:rPr>
                <w:sz w:val="16"/>
              </w:rPr>
              <w:t>0.0004</w:t>
            </w:r>
          </w:p>
        </w:tc>
        <w:tc>
          <w:tcPr>
            <w:tcW w:type="dxa" w:w="1080"/>
            <w:vAlign w:val="center"/>
          </w:tcPr>
          <w:p>
            <w:pPr>
              <w:spacing w:after="0"/>
            </w:pPr>
            <w:r>
              <w:rPr>
                <w:sz w:val="16"/>
              </w:rPr>
              <w:t>0.0005</w:t>
            </w:r>
          </w:p>
        </w:tc>
        <w:tc>
          <w:tcPr>
            <w:tcW w:type="dxa" w:w="1440"/>
            <w:vAlign w:val="center"/>
          </w:tcPr>
          <w:p>
            <w:pPr>
              <w:spacing w:after="0"/>
            </w:pPr>
            <w:r>
              <w:rPr>
                <w:sz w:val="16"/>
              </w:rPr>
              <w:t>Negligible</w:t>
            </w:r>
          </w:p>
        </w:tc>
      </w:tr>
      <w:tr>
        <w:tc>
          <w:tcPr>
            <w:tcW w:type="dxa" w:w="648"/>
            <w:vAlign w:val="center"/>
          </w:tcPr>
          <w:p>
            <w:pPr>
              <w:spacing w:after="0"/>
            </w:pPr>
            <w:r>
              <w:rPr>
                <w:sz w:val="16"/>
              </w:rPr>
              <w:t>8</w:t>
            </w:r>
          </w:p>
        </w:tc>
        <w:tc>
          <w:tcPr>
            <w:tcW w:type="dxa" w:w="1512"/>
            <w:vAlign w:val="center"/>
          </w:tcPr>
          <w:p>
            <w:pPr>
              <w:spacing w:after="0"/>
            </w:pPr>
            <w:r>
              <w:rPr>
                <w:sz w:val="16"/>
              </w:rPr>
              <w:t>p1</w:t>
            </w:r>
          </w:p>
        </w:tc>
        <w:tc>
          <w:tcPr>
            <w:tcW w:type="dxa" w:w="1224"/>
            <w:vAlign w:val="center"/>
          </w:tcPr>
          <w:p>
            <w:pPr>
              <w:spacing w:after="0"/>
            </w:pPr>
            <w:r>
              <w:rPr>
                <w:sz w:val="16"/>
              </w:rPr>
              <w:t>0.0000</w:t>
            </w:r>
          </w:p>
        </w:tc>
        <w:tc>
          <w:tcPr>
            <w:tcW w:type="dxa" w:w="1080"/>
            <w:vAlign w:val="center"/>
          </w:tcPr>
          <w:p>
            <w:pPr>
              <w:spacing w:after="0"/>
            </w:pPr>
            <w:r>
              <w:rPr>
                <w:sz w:val="16"/>
              </w:rPr>
              <w:t>0.0000</w:t>
            </w:r>
          </w:p>
        </w:tc>
        <w:tc>
          <w:tcPr>
            <w:tcW w:type="dxa" w:w="1152"/>
            <w:vAlign w:val="center"/>
          </w:tcPr>
          <w:p>
            <w:pPr>
              <w:spacing w:after="0"/>
            </w:pPr>
            <w:r>
              <w:rPr>
                <w:sz w:val="16"/>
              </w:rPr>
              <w:t>0.0000</w:t>
            </w:r>
          </w:p>
        </w:tc>
        <w:tc>
          <w:tcPr>
            <w:tcW w:type="dxa" w:w="1080"/>
            <w:vAlign w:val="center"/>
          </w:tcPr>
          <w:p>
            <w:pPr>
              <w:spacing w:after="0"/>
            </w:pPr>
            <w:r>
              <w:rPr>
                <w:sz w:val="16"/>
              </w:rPr>
              <w:t>0.0000</w:t>
            </w:r>
          </w:p>
        </w:tc>
        <w:tc>
          <w:tcPr>
            <w:tcW w:type="dxa" w:w="1440"/>
            <w:vAlign w:val="center"/>
          </w:tcPr>
          <w:p>
            <w:pPr>
              <w:spacing w:after="0"/>
            </w:pPr>
            <w:r>
              <w:rPr>
                <w:sz w:val="16"/>
              </w:rPr>
              <w:t>Negligible</w:t>
            </w:r>
          </w:p>
        </w:tc>
      </w:tr>
      <w:tr>
        <w:tc>
          <w:tcPr>
            <w:tcW w:type="dxa" w:w="648"/>
            <w:vAlign w:val="center"/>
          </w:tcPr>
          <w:p>
            <w:pPr>
              <w:spacing w:after="0"/>
            </w:pPr>
            <w:r>
              <w:rPr>
                <w:sz w:val="16"/>
              </w:rPr>
              <w:t>9</w:t>
            </w:r>
          </w:p>
        </w:tc>
        <w:tc>
          <w:tcPr>
            <w:tcW w:type="dxa" w:w="1512"/>
            <w:vAlign w:val="center"/>
          </w:tcPr>
          <w:p>
            <w:pPr>
              <w:spacing w:after="0"/>
            </w:pPr>
            <w:r>
              <w:rPr>
                <w:sz w:val="16"/>
              </w:rPr>
              <w:t>p2</w:t>
            </w:r>
          </w:p>
        </w:tc>
        <w:tc>
          <w:tcPr>
            <w:tcW w:type="dxa" w:w="1224"/>
            <w:vAlign w:val="center"/>
          </w:tcPr>
          <w:p>
            <w:pPr>
              <w:spacing w:after="0"/>
            </w:pPr>
            <w:r>
              <w:rPr>
                <w:sz w:val="16"/>
              </w:rPr>
              <w:t>0.0000</w:t>
            </w:r>
          </w:p>
        </w:tc>
        <w:tc>
          <w:tcPr>
            <w:tcW w:type="dxa" w:w="1080"/>
            <w:vAlign w:val="center"/>
          </w:tcPr>
          <w:p>
            <w:pPr>
              <w:spacing w:after="0"/>
            </w:pPr>
            <w:r>
              <w:rPr>
                <w:sz w:val="16"/>
              </w:rPr>
              <w:t>0.0000</w:t>
            </w:r>
          </w:p>
        </w:tc>
        <w:tc>
          <w:tcPr>
            <w:tcW w:type="dxa" w:w="1152"/>
            <w:vAlign w:val="center"/>
          </w:tcPr>
          <w:p>
            <w:pPr>
              <w:spacing w:after="0"/>
            </w:pPr>
            <w:r>
              <w:rPr>
                <w:sz w:val="16"/>
              </w:rPr>
              <w:t>0.0000</w:t>
            </w:r>
          </w:p>
        </w:tc>
        <w:tc>
          <w:tcPr>
            <w:tcW w:type="dxa" w:w="1080"/>
            <w:vAlign w:val="center"/>
          </w:tcPr>
          <w:p>
            <w:pPr>
              <w:spacing w:after="0"/>
            </w:pPr>
            <w:r>
              <w:rPr>
                <w:sz w:val="16"/>
              </w:rPr>
              <w:t>0.0000</w:t>
            </w:r>
          </w:p>
        </w:tc>
        <w:tc>
          <w:tcPr>
            <w:tcW w:type="dxa" w:w="1440"/>
            <w:vAlign w:val="center"/>
          </w:tcPr>
          <w:p>
            <w:pPr>
              <w:spacing w:after="0"/>
            </w:pPr>
            <w:r>
              <w:rPr>
                <w:sz w:val="16"/>
              </w:rPr>
              <w:t>Negligible</w:t>
            </w:r>
          </w:p>
        </w:tc>
      </w:tr>
    </w:tbl>
    <w:p>
      <w:pPr>
        <w:pStyle w:val="NormalWeb"/>
        <w:spacing w:after="100" w:line="252" w:lineRule="auto"/>
      </w:pPr>
      <w:r>
        <w:t>Average main-effect ranking: G (0.2188) &gt; sigma (0.2073) &gt;&gt; mean_nsamp (0.0409) &gt; design_block (0.0141) &gt; method (0.0127) &gt; theta_true (0.0102) &gt; theta_CV (0.0006) &gt;&gt; p1 and p2. G and sigma are therefore the principal determinants of overall estimation error in the sampled analysis.</w:t>
      </w:r>
    </w:p>
    <w:tbl>
      <w:tblPr>
        <w:tblW w:type="auto" w:w="0"/>
        <w:jc w:val="center"/>
        <w:tblLook w:firstColumn="1" w:firstRow="1" w:lastColumn="0" w:lastRow="0" w:noHBand="0" w:noVBand="1" w:val="04A0"/>
      </w:tblPr>
      <w:tblGrid>
        <w:gridCol w:w="1543"/>
        <w:gridCol w:w="1543"/>
        <w:gridCol w:w="1543"/>
        <w:gridCol w:w="1543"/>
        <w:gridCol w:w="1543"/>
        <w:gridCol w:w="1543"/>
        <w:gridCol w:w="1543"/>
      </w:tblGrid>
      <w:tr>
        <w:tc>
          <w:tcPr>
            <w:tcW w:type="dxa" w:w="576"/>
            <w:shd w:fill="D9EAF7"/>
            <w:vAlign w:val="center"/>
          </w:tcPr>
          <w:p>
            <w:pPr>
              <w:spacing w:after="0"/>
            </w:pPr>
            <w:r>
              <w:rPr>
                <w:b/>
                <w:sz w:val="16"/>
              </w:rPr>
              <w:t>Rank</w:t>
            </w:r>
          </w:p>
        </w:tc>
        <w:tc>
          <w:tcPr>
            <w:tcW w:type="dxa" w:w="1800"/>
            <w:shd w:fill="D9EAF7"/>
            <w:vAlign w:val="center"/>
          </w:tcPr>
          <w:p>
            <w:pPr>
              <w:spacing w:after="0"/>
            </w:pPr>
            <w:r>
              <w:rPr>
                <w:b/>
                <w:sz w:val="16"/>
              </w:rPr>
              <w:t>Interaction</w:t>
            </w:r>
          </w:p>
        </w:tc>
        <w:tc>
          <w:tcPr>
            <w:tcW w:type="dxa" w:w="1008"/>
            <w:shd w:fill="D9EAF7"/>
            <w:vAlign w:val="center"/>
          </w:tcPr>
          <w:p>
            <w:pPr>
              <w:spacing w:after="0"/>
            </w:pPr>
            <w:r>
              <w:rPr>
                <w:b/>
                <w:sz w:val="16"/>
              </w:rPr>
              <w:t>RMSE η²p</w:t>
            </w:r>
          </w:p>
        </w:tc>
        <w:tc>
          <w:tcPr>
            <w:tcW w:type="dxa" w:w="936"/>
            <w:shd w:fill="D9EAF7"/>
            <w:vAlign w:val="center"/>
          </w:tcPr>
          <w:p>
            <w:pPr>
              <w:spacing w:after="0"/>
            </w:pPr>
            <w:r>
              <w:rPr>
                <w:b/>
                <w:sz w:val="16"/>
              </w:rPr>
              <w:t>L1 η²p</w:t>
            </w:r>
          </w:p>
        </w:tc>
        <w:tc>
          <w:tcPr>
            <w:tcW w:type="dxa" w:w="1008"/>
            <w:shd w:fill="D9EAF7"/>
            <w:vAlign w:val="center"/>
          </w:tcPr>
          <w:p>
            <w:pPr>
              <w:spacing w:after="0"/>
            </w:pPr>
            <w:r>
              <w:rPr>
                <w:b/>
                <w:sz w:val="16"/>
              </w:rPr>
              <w:t>Linf η²p</w:t>
            </w:r>
          </w:p>
        </w:tc>
        <w:tc>
          <w:tcPr>
            <w:tcW w:type="dxa" w:w="1080"/>
            <w:shd w:fill="D9EAF7"/>
            <w:vAlign w:val="center"/>
          </w:tcPr>
          <w:p>
            <w:pPr>
              <w:spacing w:after="0"/>
            </w:pPr>
            <w:r>
              <w:rPr>
                <w:b/>
                <w:sz w:val="16"/>
              </w:rPr>
              <w:t>Average η²p</w:t>
            </w:r>
          </w:p>
        </w:tc>
        <w:tc>
          <w:tcPr>
            <w:tcW w:type="dxa" w:w="1800"/>
            <w:shd w:fill="D9EAF7"/>
            <w:vAlign w:val="center"/>
          </w:tcPr>
          <w:p>
            <w:pPr>
              <w:spacing w:after="0"/>
            </w:pPr>
            <w:r>
              <w:rPr>
                <w:b/>
                <w:sz w:val="16"/>
              </w:rPr>
              <w:t>Interpretation</w:t>
            </w:r>
          </w:p>
        </w:tc>
      </w:tr>
      <w:tr>
        <w:tc>
          <w:tcPr>
            <w:tcW w:type="dxa" w:w="576"/>
            <w:vAlign w:val="center"/>
          </w:tcPr>
          <w:p>
            <w:pPr>
              <w:spacing w:after="0"/>
            </w:pPr>
            <w:r>
              <w:rPr>
                <w:sz w:val="16"/>
              </w:rPr>
              <w:t>1</w:t>
            </w:r>
          </w:p>
        </w:tc>
        <w:tc>
          <w:tcPr>
            <w:tcW w:type="dxa" w:w="1800"/>
            <w:vAlign w:val="center"/>
          </w:tcPr>
          <w:p>
            <w:pPr>
              <w:spacing w:after="0"/>
            </w:pPr>
            <w:r>
              <w:rPr>
                <w:sz w:val="16"/>
              </w:rPr>
              <w:t>method:sigma</w:t>
            </w:r>
          </w:p>
        </w:tc>
        <w:tc>
          <w:tcPr>
            <w:tcW w:type="dxa" w:w="1008"/>
            <w:vAlign w:val="center"/>
          </w:tcPr>
          <w:p>
            <w:pPr>
              <w:spacing w:after="0"/>
            </w:pPr>
            <w:r>
              <w:rPr>
                <w:sz w:val="16"/>
              </w:rPr>
              <w:t>0.00773</w:t>
            </w:r>
          </w:p>
        </w:tc>
        <w:tc>
          <w:tcPr>
            <w:tcW w:type="dxa" w:w="936"/>
            <w:vAlign w:val="center"/>
          </w:tcPr>
          <w:p>
            <w:pPr>
              <w:spacing w:after="0"/>
            </w:pPr>
            <w:r>
              <w:rPr>
                <w:sz w:val="16"/>
              </w:rPr>
              <w:t>0.00709</w:t>
            </w:r>
          </w:p>
        </w:tc>
        <w:tc>
          <w:tcPr>
            <w:tcW w:type="dxa" w:w="1008"/>
            <w:vAlign w:val="center"/>
          </w:tcPr>
          <w:p>
            <w:pPr>
              <w:spacing w:after="0"/>
            </w:pPr>
            <w:r>
              <w:rPr>
                <w:sz w:val="16"/>
              </w:rPr>
              <w:t>0.00704</w:t>
            </w:r>
          </w:p>
        </w:tc>
        <w:tc>
          <w:tcPr>
            <w:tcW w:type="dxa" w:w="1080"/>
            <w:vAlign w:val="center"/>
          </w:tcPr>
          <w:p>
            <w:pPr>
              <w:spacing w:after="0"/>
            </w:pPr>
            <w:r>
              <w:rPr>
                <w:sz w:val="16"/>
              </w:rPr>
              <w:t>0.00729</w:t>
            </w:r>
          </w:p>
        </w:tc>
        <w:tc>
          <w:tcPr>
            <w:tcW w:type="dxa" w:w="1800"/>
            <w:vAlign w:val="center"/>
          </w:tcPr>
          <w:p>
            <w:pPr>
              <w:spacing w:after="0"/>
            </w:pPr>
            <w:r>
              <w:rPr>
                <w:sz w:val="16"/>
              </w:rPr>
              <w:t>Primary robustness interaction</w:t>
            </w:r>
          </w:p>
        </w:tc>
      </w:tr>
      <w:tr>
        <w:tc>
          <w:tcPr>
            <w:tcW w:type="dxa" w:w="576"/>
            <w:vAlign w:val="center"/>
          </w:tcPr>
          <w:p>
            <w:pPr>
              <w:spacing w:after="0"/>
            </w:pPr>
            <w:r>
              <w:rPr>
                <w:sz w:val="16"/>
              </w:rPr>
              <w:t>2</w:t>
            </w:r>
          </w:p>
        </w:tc>
        <w:tc>
          <w:tcPr>
            <w:tcW w:type="dxa" w:w="1800"/>
            <w:vAlign w:val="center"/>
          </w:tcPr>
          <w:p>
            <w:pPr>
              <w:spacing w:after="0"/>
            </w:pPr>
            <w:r>
              <w:rPr>
                <w:sz w:val="16"/>
              </w:rPr>
              <w:t>method:G</w:t>
            </w:r>
          </w:p>
        </w:tc>
        <w:tc>
          <w:tcPr>
            <w:tcW w:type="dxa" w:w="1008"/>
            <w:vAlign w:val="center"/>
          </w:tcPr>
          <w:p>
            <w:pPr>
              <w:spacing w:after="0"/>
            </w:pPr>
            <w:r>
              <w:rPr>
                <w:sz w:val="16"/>
              </w:rPr>
              <w:t>0.00204</w:t>
            </w:r>
          </w:p>
        </w:tc>
        <w:tc>
          <w:tcPr>
            <w:tcW w:type="dxa" w:w="936"/>
            <w:vAlign w:val="center"/>
          </w:tcPr>
          <w:p>
            <w:pPr>
              <w:spacing w:after="0"/>
            </w:pPr>
            <w:r>
              <w:rPr>
                <w:sz w:val="16"/>
              </w:rPr>
              <w:t>0.00155</w:t>
            </w:r>
          </w:p>
        </w:tc>
        <w:tc>
          <w:tcPr>
            <w:tcW w:type="dxa" w:w="1008"/>
            <w:vAlign w:val="center"/>
          </w:tcPr>
          <w:p>
            <w:pPr>
              <w:spacing w:after="0"/>
            </w:pPr>
            <w:r>
              <w:rPr>
                <w:sz w:val="16"/>
              </w:rPr>
              <w:t>0.00197</w:t>
            </w:r>
          </w:p>
        </w:tc>
        <w:tc>
          <w:tcPr>
            <w:tcW w:type="dxa" w:w="1080"/>
            <w:vAlign w:val="center"/>
          </w:tcPr>
          <w:p>
            <w:pPr>
              <w:spacing w:after="0"/>
            </w:pPr>
            <w:r>
              <w:rPr>
                <w:sz w:val="16"/>
              </w:rPr>
              <w:t>0.00185</w:t>
            </w:r>
          </w:p>
        </w:tc>
        <w:tc>
          <w:tcPr>
            <w:tcW w:type="dxa" w:w="1800"/>
            <w:vAlign w:val="center"/>
          </w:tcPr>
          <w:p>
            <w:pPr>
              <w:spacing w:after="0"/>
            </w:pPr>
            <w:r>
              <w:rPr>
                <w:sz w:val="16"/>
              </w:rPr>
              <w:t>Secondary robustness interaction</w:t>
            </w:r>
          </w:p>
        </w:tc>
      </w:tr>
      <w:tr>
        <w:tc>
          <w:tcPr>
            <w:tcW w:type="dxa" w:w="576"/>
            <w:vAlign w:val="center"/>
          </w:tcPr>
          <w:p>
            <w:pPr>
              <w:spacing w:after="0"/>
            </w:pPr>
            <w:r>
              <w:rPr>
                <w:sz w:val="16"/>
              </w:rPr>
              <w:t>3</w:t>
            </w:r>
          </w:p>
        </w:tc>
        <w:tc>
          <w:tcPr>
            <w:tcW w:type="dxa" w:w="1800"/>
            <w:vAlign w:val="center"/>
          </w:tcPr>
          <w:p>
            <w:pPr>
              <w:spacing w:after="0"/>
            </w:pPr>
            <w:r>
              <w:rPr>
                <w:sz w:val="16"/>
              </w:rPr>
              <w:t>method:mean_nsamp</w:t>
            </w:r>
          </w:p>
        </w:tc>
        <w:tc>
          <w:tcPr>
            <w:tcW w:type="dxa" w:w="1008"/>
            <w:vAlign w:val="center"/>
          </w:tcPr>
          <w:p>
            <w:pPr>
              <w:spacing w:after="0"/>
            </w:pPr>
            <w:r>
              <w:rPr>
                <w:sz w:val="16"/>
              </w:rPr>
              <w:t>0.00081</w:t>
            </w:r>
          </w:p>
        </w:tc>
        <w:tc>
          <w:tcPr>
            <w:tcW w:type="dxa" w:w="936"/>
            <w:vAlign w:val="center"/>
          </w:tcPr>
          <w:p>
            <w:pPr>
              <w:spacing w:after="0"/>
            </w:pPr>
            <w:r>
              <w:rPr>
                <w:sz w:val="16"/>
              </w:rPr>
              <w:t>0.00085</w:t>
            </w:r>
          </w:p>
        </w:tc>
        <w:tc>
          <w:tcPr>
            <w:tcW w:type="dxa" w:w="1008"/>
            <w:vAlign w:val="center"/>
          </w:tcPr>
          <w:p>
            <w:pPr>
              <w:spacing w:after="0"/>
            </w:pPr>
            <w:r>
              <w:rPr>
                <w:sz w:val="16"/>
              </w:rPr>
              <w:t>0.00070</w:t>
            </w:r>
          </w:p>
        </w:tc>
        <w:tc>
          <w:tcPr>
            <w:tcW w:type="dxa" w:w="1080"/>
            <w:vAlign w:val="center"/>
          </w:tcPr>
          <w:p>
            <w:pPr>
              <w:spacing w:after="0"/>
            </w:pPr>
            <w:r>
              <w:rPr>
                <w:sz w:val="16"/>
              </w:rPr>
              <w:t>0.00079</w:t>
            </w:r>
          </w:p>
        </w:tc>
        <w:tc>
          <w:tcPr>
            <w:tcW w:type="dxa" w:w="1800"/>
            <w:vAlign w:val="center"/>
          </w:tcPr>
          <w:p>
            <w:pPr>
              <w:spacing w:after="0"/>
            </w:pPr>
            <w:r>
              <w:rPr>
                <w:sz w:val="16"/>
              </w:rPr>
              <w:t>Small</w:t>
            </w:r>
          </w:p>
        </w:tc>
      </w:tr>
      <w:tr>
        <w:tc>
          <w:tcPr>
            <w:tcW w:type="dxa" w:w="576"/>
            <w:vAlign w:val="center"/>
          </w:tcPr>
          <w:p>
            <w:pPr>
              <w:spacing w:after="0"/>
            </w:pPr>
            <w:r>
              <w:rPr>
                <w:sz w:val="16"/>
              </w:rPr>
              <w:t>4</w:t>
            </w:r>
          </w:p>
        </w:tc>
        <w:tc>
          <w:tcPr>
            <w:tcW w:type="dxa" w:w="1800"/>
            <w:vAlign w:val="center"/>
          </w:tcPr>
          <w:p>
            <w:pPr>
              <w:spacing w:after="0"/>
            </w:pPr>
            <w:r>
              <w:rPr>
                <w:sz w:val="16"/>
              </w:rPr>
              <w:t>method:theta_true</w:t>
            </w:r>
          </w:p>
        </w:tc>
        <w:tc>
          <w:tcPr>
            <w:tcW w:type="dxa" w:w="1008"/>
            <w:vAlign w:val="center"/>
          </w:tcPr>
          <w:p>
            <w:pPr>
              <w:spacing w:after="0"/>
            </w:pPr>
            <w:r>
              <w:rPr>
                <w:sz w:val="16"/>
              </w:rPr>
              <w:t>0.00079</w:t>
            </w:r>
          </w:p>
        </w:tc>
        <w:tc>
          <w:tcPr>
            <w:tcW w:type="dxa" w:w="936"/>
            <w:vAlign w:val="center"/>
          </w:tcPr>
          <w:p>
            <w:pPr>
              <w:spacing w:after="0"/>
            </w:pPr>
            <w:r>
              <w:rPr>
                <w:sz w:val="16"/>
              </w:rPr>
              <w:t>0.00078</w:t>
            </w:r>
          </w:p>
        </w:tc>
        <w:tc>
          <w:tcPr>
            <w:tcW w:type="dxa" w:w="1008"/>
            <w:vAlign w:val="center"/>
          </w:tcPr>
          <w:p>
            <w:pPr>
              <w:spacing w:after="0"/>
            </w:pPr>
            <w:r>
              <w:rPr>
                <w:sz w:val="16"/>
              </w:rPr>
              <w:t>0.00070</w:t>
            </w:r>
          </w:p>
        </w:tc>
        <w:tc>
          <w:tcPr>
            <w:tcW w:type="dxa" w:w="1080"/>
            <w:vAlign w:val="center"/>
          </w:tcPr>
          <w:p>
            <w:pPr>
              <w:spacing w:after="0"/>
            </w:pPr>
            <w:r>
              <w:rPr>
                <w:sz w:val="16"/>
              </w:rPr>
              <w:t>0.00075</w:t>
            </w:r>
          </w:p>
        </w:tc>
        <w:tc>
          <w:tcPr>
            <w:tcW w:type="dxa" w:w="1800"/>
            <w:vAlign w:val="center"/>
          </w:tcPr>
          <w:p>
            <w:pPr>
              <w:spacing w:after="0"/>
            </w:pPr>
            <w:r>
              <w:rPr>
                <w:sz w:val="16"/>
              </w:rPr>
              <w:t>Small</w:t>
            </w:r>
          </w:p>
        </w:tc>
      </w:tr>
      <w:tr>
        <w:tc>
          <w:tcPr>
            <w:tcW w:type="dxa" w:w="576"/>
            <w:vAlign w:val="center"/>
          </w:tcPr>
          <w:p>
            <w:pPr>
              <w:spacing w:after="0"/>
            </w:pPr>
            <w:r>
              <w:rPr>
                <w:sz w:val="16"/>
              </w:rPr>
              <w:t>5</w:t>
            </w:r>
          </w:p>
        </w:tc>
        <w:tc>
          <w:tcPr>
            <w:tcW w:type="dxa" w:w="1800"/>
            <w:vAlign w:val="center"/>
          </w:tcPr>
          <w:p>
            <w:pPr>
              <w:spacing w:after="0"/>
            </w:pPr>
            <w:r>
              <w:rPr>
                <w:sz w:val="16"/>
              </w:rPr>
              <w:t>method:design_block</w:t>
            </w:r>
          </w:p>
        </w:tc>
        <w:tc>
          <w:tcPr>
            <w:tcW w:type="dxa" w:w="1008"/>
            <w:vAlign w:val="center"/>
          </w:tcPr>
          <w:p>
            <w:pPr>
              <w:spacing w:after="0"/>
            </w:pPr>
            <w:r>
              <w:rPr>
                <w:sz w:val="16"/>
              </w:rPr>
              <w:t>0.00062</w:t>
            </w:r>
          </w:p>
        </w:tc>
        <w:tc>
          <w:tcPr>
            <w:tcW w:type="dxa" w:w="936"/>
            <w:vAlign w:val="center"/>
          </w:tcPr>
          <w:p>
            <w:pPr>
              <w:spacing w:after="0"/>
            </w:pPr>
            <w:r>
              <w:rPr>
                <w:sz w:val="16"/>
              </w:rPr>
              <w:t>0.00061</w:t>
            </w:r>
          </w:p>
        </w:tc>
        <w:tc>
          <w:tcPr>
            <w:tcW w:type="dxa" w:w="1008"/>
            <w:vAlign w:val="center"/>
          </w:tcPr>
          <w:p>
            <w:pPr>
              <w:spacing w:after="0"/>
            </w:pPr>
            <w:r>
              <w:rPr>
                <w:sz w:val="16"/>
              </w:rPr>
              <w:t>0.00063</w:t>
            </w:r>
          </w:p>
        </w:tc>
        <w:tc>
          <w:tcPr>
            <w:tcW w:type="dxa" w:w="1080"/>
            <w:vAlign w:val="center"/>
          </w:tcPr>
          <w:p>
            <w:pPr>
              <w:spacing w:after="0"/>
            </w:pPr>
            <w:r>
              <w:rPr>
                <w:sz w:val="16"/>
              </w:rPr>
              <w:t>0.00062</w:t>
            </w:r>
          </w:p>
        </w:tc>
        <w:tc>
          <w:tcPr>
            <w:tcW w:type="dxa" w:w="1800"/>
            <w:vAlign w:val="center"/>
          </w:tcPr>
          <w:p>
            <w:pPr>
              <w:spacing w:after="0"/>
            </w:pPr>
            <w:r>
              <w:rPr>
                <w:sz w:val="16"/>
              </w:rPr>
              <w:t>Small</w:t>
            </w:r>
          </w:p>
        </w:tc>
      </w:tr>
      <w:tr>
        <w:tc>
          <w:tcPr>
            <w:tcW w:type="dxa" w:w="576"/>
            <w:vAlign w:val="center"/>
          </w:tcPr>
          <w:p>
            <w:pPr>
              <w:spacing w:after="0"/>
            </w:pPr>
            <w:r>
              <w:rPr>
                <w:sz w:val="16"/>
              </w:rPr>
              <w:t>6</w:t>
            </w:r>
          </w:p>
        </w:tc>
        <w:tc>
          <w:tcPr>
            <w:tcW w:type="dxa" w:w="1800"/>
            <w:vAlign w:val="center"/>
          </w:tcPr>
          <w:p>
            <w:pPr>
              <w:spacing w:after="0"/>
            </w:pPr>
            <w:r>
              <w:rPr>
                <w:sz w:val="16"/>
              </w:rPr>
              <w:t>method:theta_CV</w:t>
            </w:r>
          </w:p>
        </w:tc>
        <w:tc>
          <w:tcPr>
            <w:tcW w:type="dxa" w:w="1008"/>
            <w:vAlign w:val="center"/>
          </w:tcPr>
          <w:p>
            <w:pPr>
              <w:spacing w:after="0"/>
            </w:pPr>
            <w:r>
              <w:rPr>
                <w:sz w:val="16"/>
              </w:rPr>
              <w:t>0.00004</w:t>
            </w:r>
          </w:p>
        </w:tc>
        <w:tc>
          <w:tcPr>
            <w:tcW w:type="dxa" w:w="936"/>
            <w:vAlign w:val="center"/>
          </w:tcPr>
          <w:p>
            <w:pPr>
              <w:spacing w:after="0"/>
            </w:pPr>
            <w:r>
              <w:rPr>
                <w:sz w:val="16"/>
              </w:rPr>
              <w:t>0.00004</w:t>
            </w:r>
          </w:p>
        </w:tc>
        <w:tc>
          <w:tcPr>
            <w:tcW w:type="dxa" w:w="1008"/>
            <w:vAlign w:val="center"/>
          </w:tcPr>
          <w:p>
            <w:pPr>
              <w:spacing w:after="0"/>
            </w:pPr>
            <w:r>
              <w:rPr>
                <w:sz w:val="16"/>
              </w:rPr>
              <w:t>0.00004</w:t>
            </w:r>
          </w:p>
        </w:tc>
        <w:tc>
          <w:tcPr>
            <w:tcW w:type="dxa" w:w="1080"/>
            <w:vAlign w:val="center"/>
          </w:tcPr>
          <w:p>
            <w:pPr>
              <w:spacing w:after="0"/>
            </w:pPr>
            <w:r>
              <w:rPr>
                <w:sz w:val="16"/>
              </w:rPr>
              <w:t>0.00004</w:t>
            </w:r>
          </w:p>
        </w:tc>
        <w:tc>
          <w:tcPr>
            <w:tcW w:type="dxa" w:w="1800"/>
            <w:vAlign w:val="center"/>
          </w:tcPr>
          <w:p>
            <w:pPr>
              <w:spacing w:after="0"/>
            </w:pPr>
            <w:r>
              <w:rPr>
                <w:sz w:val="16"/>
              </w:rPr>
              <w:t>Negligible</w:t>
            </w:r>
          </w:p>
        </w:tc>
      </w:tr>
      <w:tr>
        <w:tc>
          <w:tcPr>
            <w:tcW w:type="dxa" w:w="576"/>
            <w:vAlign w:val="center"/>
          </w:tcPr>
          <w:p>
            <w:pPr>
              <w:spacing w:after="0"/>
            </w:pPr>
            <w:r>
              <w:rPr>
                <w:sz w:val="16"/>
              </w:rPr>
              <w:t>7</w:t>
            </w:r>
          </w:p>
        </w:tc>
        <w:tc>
          <w:tcPr>
            <w:tcW w:type="dxa" w:w="1800"/>
            <w:vAlign w:val="center"/>
          </w:tcPr>
          <w:p>
            <w:pPr>
              <w:spacing w:after="0"/>
            </w:pPr>
            <w:r>
              <w:rPr>
                <w:sz w:val="16"/>
              </w:rPr>
              <w:t>method:p1</w:t>
            </w:r>
          </w:p>
        </w:tc>
        <w:tc>
          <w:tcPr>
            <w:tcW w:type="dxa" w:w="1008"/>
            <w:vAlign w:val="center"/>
          </w:tcPr>
          <w:p>
            <w:pPr>
              <w:spacing w:after="0"/>
            </w:pPr>
            <w:r>
              <w:rPr>
                <w:sz w:val="16"/>
              </w:rPr>
              <w:t>0.00002</w:t>
            </w:r>
          </w:p>
        </w:tc>
        <w:tc>
          <w:tcPr>
            <w:tcW w:type="dxa" w:w="936"/>
            <w:vAlign w:val="center"/>
          </w:tcPr>
          <w:p>
            <w:pPr>
              <w:spacing w:after="0"/>
            </w:pPr>
            <w:r>
              <w:rPr>
                <w:sz w:val="16"/>
              </w:rPr>
              <w:t>0.00002</w:t>
            </w:r>
          </w:p>
        </w:tc>
        <w:tc>
          <w:tcPr>
            <w:tcW w:type="dxa" w:w="1008"/>
            <w:vAlign w:val="center"/>
          </w:tcPr>
          <w:p>
            <w:pPr>
              <w:spacing w:after="0"/>
            </w:pPr>
            <w:r>
              <w:rPr>
                <w:sz w:val="16"/>
              </w:rPr>
              <w:t>0.00002</w:t>
            </w:r>
          </w:p>
        </w:tc>
        <w:tc>
          <w:tcPr>
            <w:tcW w:type="dxa" w:w="1080"/>
            <w:vAlign w:val="center"/>
          </w:tcPr>
          <w:p>
            <w:pPr>
              <w:spacing w:after="0"/>
            </w:pPr>
            <w:r>
              <w:rPr>
                <w:sz w:val="16"/>
              </w:rPr>
              <w:t>0.00002</w:t>
            </w:r>
          </w:p>
        </w:tc>
        <w:tc>
          <w:tcPr>
            <w:tcW w:type="dxa" w:w="1800"/>
            <w:vAlign w:val="center"/>
          </w:tcPr>
          <w:p>
            <w:pPr>
              <w:spacing w:after="0"/>
            </w:pPr>
            <w:r>
              <w:rPr>
                <w:sz w:val="16"/>
              </w:rPr>
              <w:t>Negligible</w:t>
            </w:r>
          </w:p>
        </w:tc>
      </w:tr>
      <w:tr>
        <w:tc>
          <w:tcPr>
            <w:tcW w:type="dxa" w:w="576"/>
            <w:vAlign w:val="center"/>
          </w:tcPr>
          <w:p>
            <w:pPr>
              <w:spacing w:after="0"/>
            </w:pPr>
            <w:r>
              <w:rPr>
                <w:sz w:val="16"/>
              </w:rPr>
              <w:t>8</w:t>
            </w:r>
          </w:p>
        </w:tc>
        <w:tc>
          <w:tcPr>
            <w:tcW w:type="dxa" w:w="1800"/>
            <w:vAlign w:val="center"/>
          </w:tcPr>
          <w:p>
            <w:pPr>
              <w:spacing w:after="0"/>
            </w:pPr>
            <w:r>
              <w:rPr>
                <w:sz w:val="16"/>
              </w:rPr>
              <w:t>method:p2</w:t>
            </w:r>
          </w:p>
        </w:tc>
        <w:tc>
          <w:tcPr>
            <w:tcW w:type="dxa" w:w="1008"/>
            <w:vAlign w:val="center"/>
          </w:tcPr>
          <w:p>
            <w:pPr>
              <w:spacing w:after="0"/>
            </w:pPr>
            <w:r>
              <w:rPr>
                <w:sz w:val="16"/>
              </w:rPr>
              <w:t>0.00000</w:t>
            </w:r>
          </w:p>
        </w:tc>
        <w:tc>
          <w:tcPr>
            <w:tcW w:type="dxa" w:w="936"/>
            <w:vAlign w:val="center"/>
          </w:tcPr>
          <w:p>
            <w:pPr>
              <w:spacing w:after="0"/>
            </w:pPr>
            <w:r>
              <w:rPr>
                <w:sz w:val="16"/>
              </w:rPr>
              <w:t>0.00000</w:t>
            </w:r>
          </w:p>
        </w:tc>
        <w:tc>
          <w:tcPr>
            <w:tcW w:type="dxa" w:w="1008"/>
            <w:vAlign w:val="center"/>
          </w:tcPr>
          <w:p>
            <w:pPr>
              <w:spacing w:after="0"/>
            </w:pPr>
            <w:r>
              <w:rPr>
                <w:sz w:val="16"/>
              </w:rPr>
              <w:t>0.00000</w:t>
            </w:r>
          </w:p>
        </w:tc>
        <w:tc>
          <w:tcPr>
            <w:tcW w:type="dxa" w:w="1080"/>
            <w:vAlign w:val="center"/>
          </w:tcPr>
          <w:p>
            <w:pPr>
              <w:spacing w:after="0"/>
            </w:pPr>
            <w:r>
              <w:rPr>
                <w:sz w:val="16"/>
              </w:rPr>
              <w:t>0.00000</w:t>
            </w:r>
          </w:p>
        </w:tc>
        <w:tc>
          <w:tcPr>
            <w:tcW w:type="dxa" w:w="1800"/>
            <w:vAlign w:val="center"/>
          </w:tcPr>
          <w:p>
            <w:pPr>
              <w:spacing w:after="0"/>
            </w:pPr>
            <w:r>
              <w:rPr>
                <w:sz w:val="16"/>
              </w:rPr>
              <w:t>Negligible</w:t>
            </w:r>
          </w:p>
        </w:tc>
      </w:tr>
    </w:tbl>
    <w:p>
      <w:pPr>
        <w:pStyle w:val="NormalWeb"/>
        <w:spacing w:after="100" w:line="252" w:lineRule="auto"/>
      </w:pPr>
      <w:r>
        <w:t>The interaction hierarchy is method:sigma (average η²p ≈ 0.0078) &gt; method:G (≈ 0.0020) &gt; method:mean_nsamp (≈ 0.0008) ≈ method:theta_true (≈ 0.0008) &gt; method:design_block (≈ 0.0006). Thus, differential robustness is driven mainly by dispersion and secondarily by G.</w:t>
      </w:r>
    </w:p>
    <w:p>
      <w:pPr>
        <w:pStyle w:val="Heading1"/>
        <w:spacing w:after="100" w:line="252" w:lineRule="auto"/>
      </w:pPr>
      <w:r>
        <w:t>4. Comparative performance: post-hoc synthesis</w:t>
      </w:r>
    </w:p>
    <w:p>
      <w:pPr>
        <w:pStyle w:val="NormalWeb"/>
        <w:spacing w:after="100" w:line="252" w:lineRule="auto"/>
      </w:pPr>
      <w:r>
        <w:t>The output reports estimated marginal means at a specific reference condition: design_block = Negative binomial, G = 4, theta_true = 2, theta_CV = 0.6, sigma = 1, mean_nsamp = 100, with p1 = 0.1662856 and p2 = 0.1665745. These are conditional EMMs and should not be described as performance averaged across all factorial levels. Estimates are on the log1p(error) scale; the table below back-transforms them using exp(emmean) − 1. Lower values indicate better accuracy.</w:t>
      </w:r>
    </w:p>
    <w:tbl>
      <w:tblPr>
        <w:tblW w:type="auto" w:w="0"/>
        <w:jc w:val="center"/>
        <w:tblLook w:firstColumn="1" w:firstRow="1" w:lastColumn="0" w:lastRow="0" w:noHBand="0" w:noVBand="1" w:val="04A0"/>
      </w:tblPr>
      <w:tblGrid>
        <w:gridCol w:w="2160"/>
        <w:gridCol w:w="2160"/>
        <w:gridCol w:w="2160"/>
        <w:gridCol w:w="2160"/>
        <w:gridCol w:w="2160"/>
      </w:tblGrid>
      <w:tr>
        <w:tc>
          <w:tcPr>
            <w:tcW w:type="dxa" w:w="864"/>
            <w:shd w:fill="D9EAF7"/>
            <w:vAlign w:val="center"/>
          </w:tcPr>
          <w:p>
            <w:pPr>
              <w:spacing w:after="0"/>
            </w:pPr>
            <w:r>
              <w:rPr>
                <w:b/>
                <w:sz w:val="16"/>
              </w:rPr>
              <w:t>Method</w:t>
            </w:r>
          </w:p>
        </w:tc>
        <w:tc>
          <w:tcPr>
            <w:tcW w:type="dxa" w:w="1224"/>
            <w:shd w:fill="D9EAF7"/>
            <w:vAlign w:val="center"/>
          </w:tcPr>
          <w:p>
            <w:pPr>
              <w:spacing w:after="0"/>
            </w:pPr>
            <w:r>
              <w:rPr>
                <w:b/>
                <w:sz w:val="16"/>
              </w:rPr>
              <w:t>RMSE EMM</w:t>
            </w:r>
          </w:p>
        </w:tc>
        <w:tc>
          <w:tcPr>
            <w:tcW w:type="dxa" w:w="1224"/>
            <w:shd w:fill="D9EAF7"/>
            <w:vAlign w:val="center"/>
          </w:tcPr>
          <w:p>
            <w:pPr>
              <w:spacing w:after="0"/>
            </w:pPr>
            <w:r>
              <w:rPr>
                <w:b/>
                <w:sz w:val="16"/>
              </w:rPr>
              <w:t>L1 EMM</w:t>
            </w:r>
          </w:p>
        </w:tc>
        <w:tc>
          <w:tcPr>
            <w:tcW w:type="dxa" w:w="1224"/>
            <w:shd w:fill="D9EAF7"/>
            <w:vAlign w:val="center"/>
          </w:tcPr>
          <w:p>
            <w:pPr>
              <w:spacing w:after="0"/>
            </w:pPr>
            <w:r>
              <w:rPr>
                <w:b/>
                <w:sz w:val="16"/>
              </w:rPr>
              <w:t>Linf EMM</w:t>
            </w:r>
          </w:p>
        </w:tc>
        <w:tc>
          <w:tcPr>
            <w:tcW w:type="dxa" w:w="4320"/>
            <w:shd w:fill="D9EAF7"/>
            <w:vAlign w:val="center"/>
          </w:tcPr>
          <w:p>
            <w:pPr>
              <w:spacing w:after="0"/>
            </w:pPr>
            <w:r>
              <w:rPr>
                <w:b/>
                <w:sz w:val="16"/>
              </w:rPr>
              <w:t>Conditional interpretation</w:t>
            </w:r>
          </w:p>
        </w:tc>
      </w:tr>
      <w:tr>
        <w:tc>
          <w:tcPr>
            <w:tcW w:type="dxa" w:w="864"/>
            <w:vAlign w:val="center"/>
          </w:tcPr>
          <w:p>
            <w:pPr>
              <w:spacing w:after="0"/>
            </w:pPr>
            <w:r>
              <w:rPr>
                <w:sz w:val="16"/>
              </w:rPr>
              <w:t>v</w:t>
            </w:r>
          </w:p>
        </w:tc>
        <w:tc>
          <w:tcPr>
            <w:tcW w:type="dxa" w:w="1224"/>
            <w:vAlign w:val="center"/>
          </w:tcPr>
          <w:p>
            <w:pPr>
              <w:spacing w:after="0"/>
            </w:pPr>
            <w:r>
              <w:rPr>
                <w:sz w:val="16"/>
              </w:rPr>
              <w:t>0.06407</w:t>
            </w:r>
          </w:p>
        </w:tc>
        <w:tc>
          <w:tcPr>
            <w:tcW w:type="dxa" w:w="1224"/>
            <w:vAlign w:val="center"/>
          </w:tcPr>
          <w:p>
            <w:pPr>
              <w:spacing w:after="0"/>
            </w:pPr>
            <w:r>
              <w:rPr>
                <w:sz w:val="16"/>
              </w:rPr>
              <w:t>0.29693</w:t>
            </w:r>
          </w:p>
        </w:tc>
        <w:tc>
          <w:tcPr>
            <w:tcW w:type="dxa" w:w="1224"/>
            <w:vAlign w:val="center"/>
          </w:tcPr>
          <w:p>
            <w:pPr>
              <w:spacing w:after="0"/>
            </w:pPr>
            <w:r>
              <w:rPr>
                <w:sz w:val="16"/>
              </w:rPr>
              <w:t>0.11516</w:t>
            </w:r>
          </w:p>
        </w:tc>
        <w:tc>
          <w:tcPr>
            <w:tcW w:type="dxa" w:w="4320"/>
            <w:vAlign w:val="center"/>
          </w:tcPr>
          <w:p>
            <w:pPr>
              <w:spacing w:after="0"/>
            </w:pPr>
            <w:r>
              <w:rPr>
                <w:sz w:val="16"/>
              </w:rPr>
              <w:t>Lowest conditional error on all three metrics</w:t>
            </w:r>
          </w:p>
        </w:tc>
      </w:tr>
      <w:tr>
        <w:tc>
          <w:tcPr>
            <w:tcW w:type="dxa" w:w="864"/>
            <w:vAlign w:val="center"/>
          </w:tcPr>
          <w:p>
            <w:pPr>
              <w:spacing w:after="0"/>
            </w:pPr>
            <w:r>
              <w:rPr>
                <w:sz w:val="16"/>
              </w:rPr>
              <w:t>i</w:t>
            </w:r>
          </w:p>
        </w:tc>
        <w:tc>
          <w:tcPr>
            <w:tcW w:type="dxa" w:w="1224"/>
            <w:vAlign w:val="center"/>
          </w:tcPr>
          <w:p>
            <w:pPr>
              <w:spacing w:after="0"/>
            </w:pPr>
            <w:r>
              <w:rPr>
                <w:sz w:val="16"/>
              </w:rPr>
              <w:t>0.06439</w:t>
            </w:r>
          </w:p>
        </w:tc>
        <w:tc>
          <w:tcPr>
            <w:tcW w:type="dxa" w:w="1224"/>
            <w:vAlign w:val="center"/>
          </w:tcPr>
          <w:p>
            <w:pPr>
              <w:spacing w:after="0"/>
            </w:pPr>
            <w:r>
              <w:rPr>
                <w:sz w:val="16"/>
              </w:rPr>
              <w:t>0.29823</w:t>
            </w:r>
          </w:p>
        </w:tc>
        <w:tc>
          <w:tcPr>
            <w:tcW w:type="dxa" w:w="1224"/>
            <w:vAlign w:val="center"/>
          </w:tcPr>
          <w:p>
            <w:pPr>
              <w:spacing w:after="0"/>
            </w:pPr>
            <w:r>
              <w:rPr>
                <w:sz w:val="16"/>
              </w:rPr>
              <w:t>0.11628</w:t>
            </w:r>
          </w:p>
        </w:tc>
        <w:tc>
          <w:tcPr>
            <w:tcW w:type="dxa" w:w="4320"/>
            <w:vAlign w:val="center"/>
          </w:tcPr>
          <w:p>
            <w:pPr>
              <w:spacing w:after="0"/>
            </w:pPr>
            <w:r>
              <w:rPr>
                <w:sz w:val="16"/>
              </w:rPr>
              <w:t>Statistically indistinguishable from v on all three metrics</w:t>
            </w:r>
          </w:p>
        </w:tc>
      </w:tr>
      <w:tr>
        <w:tc>
          <w:tcPr>
            <w:tcW w:type="dxa" w:w="864"/>
            <w:vAlign w:val="center"/>
          </w:tcPr>
          <w:p>
            <w:pPr>
              <w:spacing w:after="0"/>
            </w:pPr>
            <w:r>
              <w:rPr>
                <w:sz w:val="16"/>
              </w:rPr>
              <w:t>iv</w:t>
            </w:r>
          </w:p>
        </w:tc>
        <w:tc>
          <w:tcPr>
            <w:tcW w:type="dxa" w:w="1224"/>
            <w:vAlign w:val="center"/>
          </w:tcPr>
          <w:p>
            <w:pPr>
              <w:spacing w:after="0"/>
            </w:pPr>
            <w:r>
              <w:rPr>
                <w:sz w:val="16"/>
              </w:rPr>
              <w:t>0.06897</w:t>
            </w:r>
          </w:p>
        </w:tc>
        <w:tc>
          <w:tcPr>
            <w:tcW w:type="dxa" w:w="1224"/>
            <w:vAlign w:val="center"/>
          </w:tcPr>
          <w:p>
            <w:pPr>
              <w:spacing w:after="0"/>
            </w:pPr>
            <w:r>
              <w:rPr>
                <w:sz w:val="16"/>
              </w:rPr>
              <w:t>0.32049</w:t>
            </w:r>
          </w:p>
        </w:tc>
        <w:tc>
          <w:tcPr>
            <w:tcW w:type="dxa" w:w="1224"/>
            <w:vAlign w:val="center"/>
          </w:tcPr>
          <w:p>
            <w:pPr>
              <w:spacing w:after="0"/>
            </w:pPr>
            <w:r>
              <w:rPr>
                <w:sz w:val="16"/>
              </w:rPr>
              <w:t>0.12412</w:t>
            </w:r>
          </w:p>
        </w:tc>
        <w:tc>
          <w:tcPr>
            <w:tcW w:type="dxa" w:w="4320"/>
            <w:vAlign w:val="center"/>
          </w:tcPr>
          <w:p>
            <w:pPr>
              <w:spacing w:after="0"/>
            </w:pPr>
            <w:r>
              <w:rPr>
                <w:sz w:val="16"/>
              </w:rPr>
              <w:t>Intermediate; lower error than iii for L1 and Linf</w:t>
            </w:r>
          </w:p>
        </w:tc>
      </w:tr>
      <w:tr>
        <w:tc>
          <w:tcPr>
            <w:tcW w:type="dxa" w:w="864"/>
            <w:vAlign w:val="center"/>
          </w:tcPr>
          <w:p>
            <w:pPr>
              <w:spacing w:after="0"/>
            </w:pPr>
            <w:r>
              <w:rPr>
                <w:sz w:val="16"/>
              </w:rPr>
              <w:t>iii</w:t>
            </w:r>
          </w:p>
        </w:tc>
        <w:tc>
          <w:tcPr>
            <w:tcW w:type="dxa" w:w="1224"/>
            <w:vAlign w:val="center"/>
          </w:tcPr>
          <w:p>
            <w:pPr>
              <w:spacing w:after="0"/>
            </w:pPr>
            <w:r>
              <w:rPr>
                <w:sz w:val="16"/>
              </w:rPr>
              <w:t>0.07026</w:t>
            </w:r>
          </w:p>
        </w:tc>
        <w:tc>
          <w:tcPr>
            <w:tcW w:type="dxa" w:w="1224"/>
            <w:vAlign w:val="center"/>
          </w:tcPr>
          <w:p>
            <w:pPr>
              <w:spacing w:after="0"/>
            </w:pPr>
            <w:r>
              <w:rPr>
                <w:sz w:val="16"/>
              </w:rPr>
              <w:t>0.32445</w:t>
            </w:r>
          </w:p>
        </w:tc>
        <w:tc>
          <w:tcPr>
            <w:tcW w:type="dxa" w:w="1224"/>
            <w:vAlign w:val="center"/>
          </w:tcPr>
          <w:p>
            <w:pPr>
              <w:spacing w:after="0"/>
            </w:pPr>
            <w:r>
              <w:rPr>
                <w:sz w:val="16"/>
              </w:rPr>
              <w:t>0.12750</w:t>
            </w:r>
          </w:p>
        </w:tc>
        <w:tc>
          <w:tcPr>
            <w:tcW w:type="dxa" w:w="4320"/>
            <w:vAlign w:val="center"/>
          </w:tcPr>
          <w:p>
            <w:pPr>
              <w:spacing w:after="0"/>
            </w:pPr>
            <w:r>
              <w:rPr>
                <w:sz w:val="16"/>
              </w:rPr>
              <w:t>Intermediate; slightly poorer than iv</w:t>
            </w:r>
          </w:p>
        </w:tc>
      </w:tr>
      <w:tr>
        <w:tc>
          <w:tcPr>
            <w:tcW w:type="dxa" w:w="864"/>
            <w:vAlign w:val="center"/>
          </w:tcPr>
          <w:p>
            <w:pPr>
              <w:spacing w:after="0"/>
            </w:pPr>
            <w:r>
              <w:rPr>
                <w:sz w:val="16"/>
              </w:rPr>
              <w:t>ii</w:t>
            </w:r>
          </w:p>
        </w:tc>
        <w:tc>
          <w:tcPr>
            <w:tcW w:type="dxa" w:w="1224"/>
            <w:vAlign w:val="center"/>
          </w:tcPr>
          <w:p>
            <w:pPr>
              <w:spacing w:after="0"/>
            </w:pPr>
            <w:r>
              <w:rPr>
                <w:sz w:val="16"/>
              </w:rPr>
              <w:t>0.08242</w:t>
            </w:r>
          </w:p>
        </w:tc>
        <w:tc>
          <w:tcPr>
            <w:tcW w:type="dxa" w:w="1224"/>
            <w:vAlign w:val="center"/>
          </w:tcPr>
          <w:p>
            <w:pPr>
              <w:spacing w:after="0"/>
            </w:pPr>
            <w:r>
              <w:rPr>
                <w:sz w:val="16"/>
              </w:rPr>
              <w:t>0.37713</w:t>
            </w:r>
          </w:p>
        </w:tc>
        <w:tc>
          <w:tcPr>
            <w:tcW w:type="dxa" w:w="1224"/>
            <w:vAlign w:val="center"/>
          </w:tcPr>
          <w:p>
            <w:pPr>
              <w:spacing w:after="0"/>
            </w:pPr>
            <w:r>
              <w:rPr>
                <w:sz w:val="16"/>
              </w:rPr>
              <w:t>0.14912</w:t>
            </w:r>
          </w:p>
        </w:tc>
        <w:tc>
          <w:tcPr>
            <w:tcW w:type="dxa" w:w="4320"/>
            <w:vAlign w:val="center"/>
          </w:tcPr>
          <w:p>
            <w:pPr>
              <w:spacing w:after="0"/>
            </w:pPr>
            <w:r>
              <w:rPr>
                <w:sz w:val="16"/>
              </w:rPr>
              <w:t>Highest conditional error on all three metrics</w:t>
            </w:r>
          </w:p>
        </w:tc>
      </w:tr>
    </w:tbl>
    <w:p>
      <w:pPr>
        <w:pStyle w:val="NormalWeb"/>
        <w:spacing w:after="100" w:line="252" w:lineRule="auto"/>
      </w:pPr>
      <w:r>
        <w:t>At the reference condition, methods v and i form the leading pair. Their pairwise differences were not significant for log_rmse (Holm-adjusted p = 0.447), log_L1 (p = 0.605), or log_Linf (p = 0.349). Method ii was significantly worse than every other method on all three metrics (all adjusted p &lt; 0.0001). Methods iii and iv were intermediate; iv had lower conditional errors than iii, with adjusted p = 0.0247 for RMSE, 0.1618 for L1, and 0.0034 for Linf. Thus, the iii–iv difference was not significant for L1 after multiplicity adjustment.</w:t>
      </w:r>
    </w:p>
    <w:p>
      <w:pPr>
        <w:pStyle w:val="NormalWeb"/>
        <w:spacing w:after="100" w:line="252" w:lineRule="auto"/>
      </w:pPr>
      <w:r>
        <w:t>The interaction results imply that this conditional ranking cannot be generalized to every factor combination. Method v appears especially favorable under the high-sigma reference condition, while the significant method:sigma and method:G terms indicate that another method can gain or lose relative advantage at lower sigma or different G levels. The present output does not include EMM tables at every factor level, so a defensible global classification of methods as universally robust or specialized cannot be made from this file alone. The supported conclusion is conditional: v and i are best at the stated reference condition, ii is consistently weakest there, and iii and iv are intermediate.</w:t>
      </w:r>
    </w:p>
    <w:p>
      <w:pPr>
        <w:pStyle w:val="Heading1"/>
        <w:spacing w:after="100" w:line="252" w:lineRule="auto"/>
      </w:pPr>
      <w:r>
        <w:t>5. Proportion-specific diagnostics</w:t>
      </w:r>
    </w:p>
    <w:p>
      <w:pPr>
        <w:pStyle w:val="NormalWeb"/>
        <w:spacing w:after="100" w:line="252" w:lineRule="auto"/>
      </w:pPr>
      <w:r>
        <w:t>The estimands are proportions or composition components, so values are bounded by 0 and 1 and components within a composition sum to one. These constraints induce dependence among component errors and can produce heteroscedasticity, especially near the boundaries. The scalar RMSE, L1, and Linf responses are nonnegative and right-skewed; applying log1p transformations is a reasonable variance-stabilizing step, although residual plots are still needed to assess normality, leverage, and constant variance.</w:t>
      </w:r>
    </w:p>
    <w:p>
      <w:pPr>
        <w:pStyle w:val="NormalWeb"/>
        <w:spacing w:after="100" w:line="252" w:lineRule="auto"/>
      </w:pPr>
      <w:r>
        <w:t>An arcsine-square-root or logit transformation may be useful for analyzing a single proportion, but neither fully respects the simplex geometry of a multicomponent composition. For analyses of the residual composition vector itself, log-ratio methods—preferably an isometric log-ratio transformation with an explicit zero-handling strategy—would be more principled. For the present scalar error norms, log1p is appropriate and directly interpretable after back-transformation.</w:t>
      </w:r>
    </w:p>
    <w:p>
      <w:pPr>
        <w:pStyle w:val="NormalWeb"/>
        <w:spacing w:after="100" w:line="252" w:lineRule="auto"/>
      </w:pPr>
      <w:r>
        <w:t>Box’s M test is relevant to the equality of covariance matrices in MANOVA, but it was not reported in results-code-A.txt. Given the very large sample, Box’s M can be excessively sensitive to minor departures; Pillai’s trace is generally the more robust multivariate statistic. Mauchly’s test of sphericity is not applicable because the reported model is not a repeated-measures ANOVA with a within-subject factor. Neither test should be claimed as completed unless separately run and documented.</w:t>
      </w:r>
    </w:p>
    <w:p>
      <w:pPr>
        <w:pStyle w:val="Heading1"/>
        <w:spacing w:after="100" w:line="252" w:lineRule="auto"/>
      </w:pPr>
      <w:r>
        <w:t>6. Summary and interpretation</w:t>
      </w:r>
    </w:p>
    <w:p>
      <w:pPr>
        <w:pStyle w:val="NormalWeb"/>
        <w:spacing w:after="100" w:line="252" w:lineRule="auto"/>
      </w:pPr>
      <w:r>
        <w:t>The factorial MANOVA found strong evidence that the five methods differ in their joint log_RMSE–log_L1 accuracy profile. Method choice was significant, but G and sigma had far larger multivariate effects. Mean sample size was the next major influence. The continuous variables p1 and p2 did not materially affect the multivariate response in this sampled fit.</w:t>
      </w:r>
    </w:p>
    <w:p>
      <w:pPr>
        <w:pStyle w:val="NormalWeb"/>
        <w:spacing w:after="100" w:line="252" w:lineRule="auto"/>
      </w:pPr>
      <w:r>
        <w:t>The three univariate ANOVAs gave a consistent hierarchy. Averaged across metrics, G had the largest partial eta squared (≈ 0.219), sigma was a close second (≈ 0.207), and mean_nsamp was a distant third (≈ 0.041). Design block, method, and theta_true had smaller effects (≈ 0.014, 0.013, and 0.010, respectively). Theta_CV, p1, and p2 had negligible practical influence. Therefore, the greatest accuracy gains are associated with the number of groups, dispersion, and sample size rather than with method substitution alone.</w:t>
      </w:r>
    </w:p>
    <w:p>
      <w:pPr>
        <w:pStyle w:val="NormalWeb"/>
        <w:spacing w:after="100" w:line="252" w:lineRule="auto"/>
      </w:pPr>
      <w:r>
        <w:t>Method performance was condition-dependent. Method:sigma was the largest interaction for every metric, followed by method:G. Method-by-sample-size, method-by-theta_true, and method-by-design-block effects were statistically detectable but small. These interactions show that a single overall method ranking would obscure meaningful changes in relative performance across simulation conditions.</w:t>
      </w:r>
    </w:p>
    <w:p>
      <w:pPr>
        <w:pStyle w:val="NormalWeb"/>
        <w:spacing w:after="100" w:line="252" w:lineRule="auto"/>
      </w:pPr>
      <w:r>
        <w:t>At the reported Negative-binomial, G = 4, theta_true = 2, theta_CV = 0.6, sigma = 1, mean_nsamp = 100 reference condition, methods v and i had the lowest conditional errors and were statistically indistinguishable. Method ii had the highest error and was significantly worse than every alternative. Methods iv and iii were intermediate, with iv generally but not uniformly better than iii. Because factor-specific EMMs across all levels were not included, claims of universal robustness should be reserved pending a full simple-effects or EMM-by-factor analysis.</w:t>
      </w:r>
    </w:p>
    <w:p>
      <w:pPr>
        <w:pStyle w:val="NormalWeb"/>
        <w:spacing w:after="100" w:line="252" w:lineRule="auto"/>
      </w:pPr>
      <w:r>
        <w:t>Overall conclusion: the five methods differ, but experimental conditions dominate their accuracy. G and sigma exert the greatest influence, and the strongest practical evidence of differential method robustness is the method:sigma interaction. Method v is the strongest performer at the high-sigma reference condition, method i is statistically equivalent there, and method ii is the least accurate.</w:t>
      </w:r>
    </w:p>
    <w:sectPr w:rsidR="003C743F" w:rsidRPr="003507AF" w:rsidSect="002E36FF">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46B6"/>
    <w:rsid w:val="001C46B6"/>
    <w:rsid w:val="002C3BBF"/>
    <w:rsid w:val="002E36FF"/>
    <w:rsid w:val="003507AF"/>
    <w:rsid w:val="003C743F"/>
    <w:rsid w:val="00742C00"/>
    <w:rsid w:val="007476D4"/>
    <w:rsid w:val="008207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F670E"/>
  <w15:chartTrackingRefBased/>
  <w15:docId w15:val="{1351FBC4-7B8A-4341-9E3E-071006C6B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07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1C46B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2C3B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C46B6"/>
    <w:rPr>
      <w:rFonts w:ascii="Times New Roman" w:eastAsia="Times New Roman" w:hAnsi="Times New Roman" w:cs="Times New Roman"/>
      <w:b/>
      <w:bCs/>
      <w:sz w:val="36"/>
      <w:szCs w:val="36"/>
    </w:rPr>
  </w:style>
  <w:style w:type="paragraph" w:styleId="NormalWeb">
    <w:name w:val="Normal (Web)"/>
    <w:basedOn w:val="Normal"/>
    <w:uiPriority w:val="99"/>
    <w:unhideWhenUsed/>
    <w:rsid w:val="001C46B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C46B6"/>
    <w:rPr>
      <w:b/>
      <w:bCs/>
    </w:rPr>
  </w:style>
  <w:style w:type="character" w:styleId="HTMLCode">
    <w:name w:val="HTML Code"/>
    <w:basedOn w:val="DefaultParagraphFont"/>
    <w:uiPriority w:val="99"/>
    <w:semiHidden/>
    <w:unhideWhenUsed/>
    <w:rsid w:val="001C46B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C46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C46B6"/>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2C3BBF"/>
    <w:rPr>
      <w:rFonts w:asciiTheme="majorHAnsi" w:eastAsiaTheme="majorEastAsia" w:hAnsiTheme="majorHAnsi" w:cstheme="majorBidi"/>
      <w:color w:val="1F3763" w:themeColor="accent1" w:themeShade="7F"/>
      <w:sz w:val="24"/>
      <w:szCs w:val="24"/>
    </w:rPr>
  </w:style>
  <w:style w:type="character" w:customStyle="1" w:styleId="Heading1Char">
    <w:name w:val="Heading 1 Char"/>
    <w:basedOn w:val="DefaultParagraphFont"/>
    <w:link w:val="Heading1"/>
    <w:uiPriority w:val="9"/>
    <w:rsid w:val="003507AF"/>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5211888">
      <w:bodyDiv w:val="1"/>
      <w:marLeft w:val="0"/>
      <w:marRight w:val="0"/>
      <w:marTop w:val="0"/>
      <w:marBottom w:val="0"/>
      <w:divBdr>
        <w:top w:val="none" w:sz="0" w:space="0" w:color="auto"/>
        <w:left w:val="none" w:sz="0" w:space="0" w:color="auto"/>
        <w:bottom w:val="none" w:sz="0" w:space="0" w:color="auto"/>
        <w:right w:val="none" w:sz="0" w:space="0" w:color="auto"/>
      </w:divBdr>
    </w:div>
    <w:div w:id="800613400">
      <w:bodyDiv w:val="1"/>
      <w:marLeft w:val="0"/>
      <w:marRight w:val="0"/>
      <w:marTop w:val="0"/>
      <w:marBottom w:val="0"/>
      <w:divBdr>
        <w:top w:val="none" w:sz="0" w:space="0" w:color="auto"/>
        <w:left w:val="none" w:sz="0" w:space="0" w:color="auto"/>
        <w:bottom w:val="none" w:sz="0" w:space="0" w:color="auto"/>
        <w:right w:val="none" w:sz="0" w:space="0" w:color="auto"/>
      </w:divBdr>
    </w:div>
    <w:div w:id="914707762">
      <w:bodyDiv w:val="1"/>
      <w:marLeft w:val="0"/>
      <w:marRight w:val="0"/>
      <w:marTop w:val="0"/>
      <w:marBottom w:val="0"/>
      <w:divBdr>
        <w:top w:val="none" w:sz="0" w:space="0" w:color="auto"/>
        <w:left w:val="none" w:sz="0" w:space="0" w:color="auto"/>
        <w:bottom w:val="none" w:sz="0" w:space="0" w:color="auto"/>
        <w:right w:val="none" w:sz="0" w:space="0" w:color="auto"/>
      </w:divBdr>
    </w:div>
    <w:div w:id="1296372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5</Pages>
  <Words>1763</Words>
  <Characters>10050</Characters>
  <Application>Microsoft Office Word</Application>
  <DocSecurity>0</DocSecurity>
  <Lines>83</Lines>
  <Paragraphs>23</Paragraphs>
  <ScaleCrop>false</ScaleCrop>
  <Company/>
  <LinksUpToDate>false</LinksUpToDate>
  <CharactersWithSpaces>11790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 Brodziak</dc:creator>
  <cp:keywords/>
  <dc:description/>
  <cp:lastModifiedBy>Jon Brodziak</cp:lastModifiedBy>
  <cp:revision>6</cp:revision>
  <dcterms:created xsi:type="dcterms:W3CDTF">2026-05-13T03:27:00Z</dcterms:created>
  <dcterms:modified xsi:type="dcterms:W3CDTF">2026-05-21T03:06:00Z</dcterms:modified>
</cp:coreProperties>
</file>