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b/>
          <w:sz w:val="36"/>
        </w:rPr>
        <w:t>Formal analysis of Code-B-RE-simplex mixed-effects accuracy results</w:t>
      </w:r>
    </w:p>
    <w:p>
      <w:pPr>
        <w:spacing w:after="120"/>
      </w:pPr>
      <w:r>
        <w:rPr>
          <w:rFonts w:ascii="Times New Roman" w:hAnsi="Times New Roman" w:eastAsia="Times New Roman"/>
          <w:b/>
          <w:sz w:val="27"/>
        </w:rPr>
        <w:t>Goal</w:t>
      </w:r>
    </w:p>
    <w:p>
      <w:pPr>
        <w:spacing w:after="120"/>
      </w:pPr>
      <w:r>
        <w:rPr>
          <w:rFonts w:ascii="Times New Roman" w:hAnsi="Times New Roman" w:eastAsia="Times New Roman"/>
          <w:sz w:val="24"/>
        </w:rPr>
        <w:t>The Code-B analysis evaluates the accuracy of five proportion-estimation methods using a weighted linear mixed-effects model fitted to cell means of log1p(accuracy). The response combines three scalar error metrics—RMSE, L1 norm, and Linf norm—in long format. Fixed effects include method, metric, experimental factors, and method-by-factor interactions; simplex_id is included as a random intercept. The fitted model used 300,000 aggregated cells from 20,000 reproducibly sampled simplex groups, representing 1,500,000 original observations. Consequently, the results describe the sampled simplex environments rather than an exhaustive fit to all 2,189,187 simplex groups.</w:t>
      </w:r>
    </w:p>
    <w:p>
      <w:pPr>
        <w:spacing w:after="120"/>
      </w:pPr>
      <w:r>
        <w:rPr>
          <w:rFonts w:ascii="Times New Roman" w:hAnsi="Times New Roman" w:eastAsia="Times New Roman"/>
          <w:b/>
          <w:sz w:val="36"/>
        </w:rPr>
        <w:t>1. Model interpretation and fixed-effect significance</w:t>
      </w:r>
    </w:p>
    <w:p>
      <w:pPr>
        <w:spacing w:after="120"/>
      </w:pPr>
      <w:r>
        <w:rPr>
          <w:rFonts w:ascii="Times New Roman" w:hAnsi="Times New Roman" w:eastAsia="Times New Roman"/>
          <w:sz w:val="24"/>
        </w:rPr>
        <w:t>The Type III ANOVA with Satterthwaite denominator degrees of freedom provides strong evidence that method, metric, and their interaction affect log-transformed accuracy. The method main effect was highly significant (F = 420.89, df = 4 and 279,930, p &lt; 2.2 × 10^-16). Thus, after accounting for metric, experimental factors, interactions, and simplex-level heterogeneity, the five methods do not have equal average error.</w:t>
      </w:r>
    </w:p>
    <w:p>
      <w:pPr>
        <w:spacing w:after="120"/>
      </w:pPr>
      <w:r>
        <w:rPr>
          <w:rFonts w:ascii="Times New Roman" w:hAnsi="Times New Roman" w:eastAsia="Times New Roman"/>
          <w:sz w:val="24"/>
        </w:rPr>
        <w:t>Metric was by far the largest fixed effect in the model (F = 761,110, df = 2 and 279,930, p &lt; 2.2 × 10^-16). This very large statistic primarily reflects the different numerical scales and definitions of RMSE, L1, and Linf, even after log1p transformation. It should not be interpreted as showing that one metric is intrinsically more valid than another.</w:t>
      </w:r>
    </w:p>
    <w:p>
      <w:pPr>
        <w:spacing w:after="120"/>
      </w:pPr>
      <w:r>
        <w:rPr>
          <w:rFonts w:ascii="Times New Roman" w:hAnsi="Times New Roman" w:eastAsia="Times New Roman"/>
          <w:sz w:val="24"/>
        </w:rPr>
        <w:t>The method × metric interaction was also highly significant (F = 404.43, df = 8 and 279,930, p &lt; 2.2 × 10^-16). This interaction is substantively important: the size and, in some cases, the ordering of method differences depend on the error definition. Therefore, a single global method ranking is incomplete. Metric-specific EMMs and contrasts are required to determine whether a method is broadly accurate or specialized for a particular loss function.</w:t>
      </w:r>
    </w:p>
    <w:p>
      <w:pPr>
        <w:spacing w:after="120"/>
      </w:pPr>
      <w:r>
        <w:rPr>
          <w:rFonts w:ascii="Times New Roman" w:hAnsi="Times New Roman" w:eastAsia="Times New Roman"/>
          <w:b/>
          <w:sz w:val="36"/>
        </w:rPr>
        <w:t>2. Experimental factor influence</w:t>
      </w:r>
    </w:p>
    <w:p>
      <w:pPr>
        <w:spacing w:after="120"/>
      </w:pPr>
      <w:r>
        <w:rPr>
          <w:rFonts w:ascii="Times New Roman" w:hAnsi="Times New Roman" w:eastAsia="Times New Roman"/>
          <w:sz w:val="24"/>
        </w:rPr>
        <w:t>All experimental-factor main effects except p1 and p2 were statistically significant. Based on the Type III F statistics, G and sigma were the dominant experimental drivers of log-transformed accuracy. G had the largest factor effect (F = 17,173), followed closely by sigma (F = 16,006). Mean sample size was a strong secondary driver (F = 2,850.3), followed by design_block (F = 1,119.0), theta_true (F = 737.65), and theta_CV (F = 34.65). The continuous simplex coordinates p1 and p2 were not significant after adjustment for the other predictors and the random simplex intercept.</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648"/>
            <w:vAlign w:val="center"/>
            <w:shd w:fill="D9EAF7"/>
          </w:tcPr>
          <w:p>
            <w:pPr>
              <w:spacing w:after="0"/>
            </w:pPr>
            <w:r/>
            <w:r>
              <w:rPr>
                <w:rFonts w:ascii="Times New Roman" w:hAnsi="Times New Roman" w:eastAsia="Times New Roman"/>
                <w:b/>
                <w:sz w:val="21"/>
              </w:rPr>
              <w:t>Rank</w:t>
            </w:r>
          </w:p>
        </w:tc>
        <w:tc>
          <w:tcPr>
            <w:tcW w:type="dxa" w:w="1656"/>
            <w:vAlign w:val="center"/>
            <w:shd w:fill="D9EAF7"/>
          </w:tcPr>
          <w:p>
            <w:pPr>
              <w:spacing w:after="0"/>
            </w:pPr>
            <w:r/>
            <w:r>
              <w:rPr>
                <w:rFonts w:ascii="Times New Roman" w:hAnsi="Times New Roman" w:eastAsia="Times New Roman"/>
                <w:b/>
                <w:sz w:val="21"/>
              </w:rPr>
              <w:t>Factor</w:t>
            </w:r>
          </w:p>
        </w:tc>
        <w:tc>
          <w:tcPr>
            <w:tcW w:type="dxa" w:w="1080"/>
            <w:vAlign w:val="center"/>
            <w:shd w:fill="D9EAF7"/>
          </w:tcPr>
          <w:p>
            <w:pPr>
              <w:spacing w:after="0"/>
            </w:pPr>
            <w:r/>
            <w:r>
              <w:rPr>
                <w:rFonts w:ascii="Times New Roman" w:hAnsi="Times New Roman" w:eastAsia="Times New Roman"/>
                <w:b/>
                <w:sz w:val="21"/>
              </w:rPr>
              <w:t>F statistic</w:t>
            </w:r>
          </w:p>
        </w:tc>
        <w:tc>
          <w:tcPr>
            <w:tcW w:type="dxa" w:w="1512"/>
            <w:vAlign w:val="center"/>
            <w:shd w:fill="D9EAF7"/>
          </w:tcPr>
          <w:p>
            <w:pPr>
              <w:spacing w:after="0"/>
            </w:pPr>
            <w:r/>
            <w:r>
              <w:rPr>
                <w:rFonts w:ascii="Times New Roman" w:hAnsi="Times New Roman" w:eastAsia="Times New Roman"/>
                <w:b/>
                <w:sz w:val="21"/>
              </w:rPr>
              <w:t>p-value</w:t>
            </w:r>
          </w:p>
        </w:tc>
        <w:tc>
          <w:tcPr>
            <w:tcW w:type="dxa" w:w="4320"/>
            <w:vAlign w:val="center"/>
            <w:shd w:fill="D9EAF7"/>
          </w:tcPr>
          <w:p>
            <w:pPr>
              <w:spacing w:after="0"/>
            </w:pPr>
            <w:r/>
            <w:r>
              <w:rPr>
                <w:rFonts w:ascii="Times New Roman" w:hAnsi="Times New Roman" w:eastAsia="Times New Roman"/>
                <w:b/>
                <w:sz w:val="21"/>
              </w:rPr>
              <w:t>Interpretation</w:t>
            </w:r>
          </w:p>
        </w:tc>
      </w:tr>
      <w:tr>
        <w:tc>
          <w:tcPr>
            <w:tcW w:type="dxa" w:w="648"/>
            <w:vAlign w:val="center"/>
          </w:tcPr>
          <w:p>
            <w:pPr>
              <w:spacing w:after="0"/>
            </w:pPr>
            <w:r/>
            <w:r>
              <w:rPr>
                <w:rFonts w:ascii="Times New Roman" w:hAnsi="Times New Roman" w:eastAsia="Times New Roman"/>
                <w:b w:val="0"/>
                <w:sz w:val="21"/>
              </w:rPr>
              <w:t>1</w:t>
            </w:r>
          </w:p>
        </w:tc>
        <w:tc>
          <w:tcPr>
            <w:tcW w:type="dxa" w:w="1656"/>
            <w:vAlign w:val="center"/>
          </w:tcPr>
          <w:p>
            <w:pPr>
              <w:spacing w:after="0"/>
            </w:pPr>
            <w:r/>
            <w:r>
              <w:rPr>
                <w:rFonts w:ascii="Times New Roman" w:hAnsi="Times New Roman" w:eastAsia="Times New Roman"/>
                <w:b w:val="0"/>
                <w:sz w:val="21"/>
              </w:rPr>
              <w:t>G</w:t>
            </w:r>
          </w:p>
        </w:tc>
        <w:tc>
          <w:tcPr>
            <w:tcW w:type="dxa" w:w="1080"/>
            <w:vAlign w:val="center"/>
          </w:tcPr>
          <w:p>
            <w:pPr>
              <w:spacing w:after="0"/>
            </w:pPr>
            <w:r/>
            <w:r>
              <w:rPr>
                <w:rFonts w:ascii="Times New Roman" w:hAnsi="Times New Roman" w:eastAsia="Times New Roman"/>
                <w:b w:val="0"/>
                <w:sz w:val="21"/>
              </w:rPr>
              <w:t>17,173</w:t>
            </w:r>
          </w:p>
        </w:tc>
        <w:tc>
          <w:tcPr>
            <w:tcW w:type="dxa" w:w="1512"/>
            <w:vAlign w:val="center"/>
          </w:tcPr>
          <w:p>
            <w:pPr>
              <w:spacing w:after="0"/>
            </w:pPr>
            <w:r/>
            <w:r>
              <w:rPr>
                <w:rFonts w:ascii="Times New Roman" w:hAnsi="Times New Roman" w:eastAsia="Times New Roman"/>
                <w:b w:val="0"/>
                <w:sz w:val="21"/>
              </w:rPr>
              <w:t>&lt; 2.2 × 10^-16</w:t>
            </w:r>
          </w:p>
        </w:tc>
        <w:tc>
          <w:tcPr>
            <w:tcW w:type="dxa" w:w="4320"/>
            <w:vAlign w:val="center"/>
          </w:tcPr>
          <w:p>
            <w:pPr>
              <w:spacing w:after="0"/>
            </w:pPr>
            <w:r/>
            <w:r>
              <w:rPr>
                <w:rFonts w:ascii="Times New Roman" w:hAnsi="Times New Roman" w:eastAsia="Times New Roman"/>
                <w:b w:val="0"/>
                <w:sz w:val="21"/>
              </w:rPr>
              <w:t>Largest experimental-factor effect</w:t>
            </w:r>
          </w:p>
        </w:tc>
      </w:tr>
      <w:tr>
        <w:tc>
          <w:tcPr>
            <w:tcW w:type="dxa" w:w="648"/>
            <w:vAlign w:val="center"/>
          </w:tcPr>
          <w:p>
            <w:pPr>
              <w:spacing w:after="0"/>
            </w:pPr>
            <w:r/>
            <w:r>
              <w:rPr>
                <w:rFonts w:ascii="Times New Roman" w:hAnsi="Times New Roman" w:eastAsia="Times New Roman"/>
                <w:b w:val="0"/>
                <w:sz w:val="21"/>
              </w:rPr>
              <w:t>2</w:t>
            </w:r>
          </w:p>
        </w:tc>
        <w:tc>
          <w:tcPr>
            <w:tcW w:type="dxa" w:w="1656"/>
            <w:vAlign w:val="center"/>
          </w:tcPr>
          <w:p>
            <w:pPr>
              <w:spacing w:after="0"/>
            </w:pPr>
            <w:r/>
            <w:r>
              <w:rPr>
                <w:rFonts w:ascii="Times New Roman" w:hAnsi="Times New Roman" w:eastAsia="Times New Roman"/>
                <w:b w:val="0"/>
                <w:sz w:val="21"/>
              </w:rPr>
              <w:t>sigma</w:t>
            </w:r>
          </w:p>
        </w:tc>
        <w:tc>
          <w:tcPr>
            <w:tcW w:type="dxa" w:w="1080"/>
            <w:vAlign w:val="center"/>
          </w:tcPr>
          <w:p>
            <w:pPr>
              <w:spacing w:after="0"/>
            </w:pPr>
            <w:r/>
            <w:r>
              <w:rPr>
                <w:rFonts w:ascii="Times New Roman" w:hAnsi="Times New Roman" w:eastAsia="Times New Roman"/>
                <w:b w:val="0"/>
                <w:sz w:val="21"/>
              </w:rPr>
              <w:t>16,006</w:t>
            </w:r>
          </w:p>
        </w:tc>
        <w:tc>
          <w:tcPr>
            <w:tcW w:type="dxa" w:w="1512"/>
            <w:vAlign w:val="center"/>
          </w:tcPr>
          <w:p>
            <w:pPr>
              <w:spacing w:after="0"/>
            </w:pPr>
            <w:r/>
            <w:r>
              <w:rPr>
                <w:rFonts w:ascii="Times New Roman" w:hAnsi="Times New Roman" w:eastAsia="Times New Roman"/>
                <w:b w:val="0"/>
                <w:sz w:val="21"/>
              </w:rPr>
              <w:t>&lt; 2.2 × 10^-16</w:t>
            </w:r>
          </w:p>
        </w:tc>
        <w:tc>
          <w:tcPr>
            <w:tcW w:type="dxa" w:w="4320"/>
            <w:vAlign w:val="center"/>
          </w:tcPr>
          <w:p>
            <w:pPr>
              <w:spacing w:after="0"/>
            </w:pPr>
            <w:r/>
            <w:r>
              <w:rPr>
                <w:rFonts w:ascii="Times New Roman" w:hAnsi="Times New Roman" w:eastAsia="Times New Roman"/>
                <w:b w:val="0"/>
                <w:sz w:val="21"/>
              </w:rPr>
              <w:t>Nearly equal dominant effect</w:t>
            </w:r>
          </w:p>
        </w:tc>
      </w:tr>
      <w:tr>
        <w:tc>
          <w:tcPr>
            <w:tcW w:type="dxa" w:w="648"/>
            <w:vAlign w:val="center"/>
          </w:tcPr>
          <w:p>
            <w:pPr>
              <w:spacing w:after="0"/>
            </w:pPr>
            <w:r/>
            <w:r>
              <w:rPr>
                <w:rFonts w:ascii="Times New Roman" w:hAnsi="Times New Roman" w:eastAsia="Times New Roman"/>
                <w:b w:val="0"/>
                <w:sz w:val="21"/>
              </w:rPr>
              <w:t>3</w:t>
            </w:r>
          </w:p>
        </w:tc>
        <w:tc>
          <w:tcPr>
            <w:tcW w:type="dxa" w:w="1656"/>
            <w:vAlign w:val="center"/>
          </w:tcPr>
          <w:p>
            <w:pPr>
              <w:spacing w:after="0"/>
            </w:pPr>
            <w:r/>
            <w:r>
              <w:rPr>
                <w:rFonts w:ascii="Times New Roman" w:hAnsi="Times New Roman" w:eastAsia="Times New Roman"/>
                <w:b w:val="0"/>
                <w:sz w:val="21"/>
              </w:rPr>
              <w:t>mean_nsamp</w:t>
            </w:r>
          </w:p>
        </w:tc>
        <w:tc>
          <w:tcPr>
            <w:tcW w:type="dxa" w:w="1080"/>
            <w:vAlign w:val="center"/>
          </w:tcPr>
          <w:p>
            <w:pPr>
              <w:spacing w:after="0"/>
            </w:pPr>
            <w:r/>
            <w:r>
              <w:rPr>
                <w:rFonts w:ascii="Times New Roman" w:hAnsi="Times New Roman" w:eastAsia="Times New Roman"/>
                <w:b w:val="0"/>
                <w:sz w:val="21"/>
              </w:rPr>
              <w:t>2,850.3</w:t>
            </w:r>
          </w:p>
        </w:tc>
        <w:tc>
          <w:tcPr>
            <w:tcW w:type="dxa" w:w="1512"/>
            <w:vAlign w:val="center"/>
          </w:tcPr>
          <w:p>
            <w:pPr>
              <w:spacing w:after="0"/>
            </w:pPr>
            <w:r/>
            <w:r>
              <w:rPr>
                <w:rFonts w:ascii="Times New Roman" w:hAnsi="Times New Roman" w:eastAsia="Times New Roman"/>
                <w:b w:val="0"/>
                <w:sz w:val="21"/>
              </w:rPr>
              <w:t>&lt; 2.2 × 10^-16</w:t>
            </w:r>
          </w:p>
        </w:tc>
        <w:tc>
          <w:tcPr>
            <w:tcW w:type="dxa" w:w="4320"/>
            <w:vAlign w:val="center"/>
          </w:tcPr>
          <w:p>
            <w:pPr>
              <w:spacing w:after="0"/>
            </w:pPr>
            <w:r/>
            <w:r>
              <w:rPr>
                <w:rFonts w:ascii="Times New Roman" w:hAnsi="Times New Roman" w:eastAsia="Times New Roman"/>
                <w:b w:val="0"/>
                <w:sz w:val="21"/>
              </w:rPr>
              <w:t>Strong sample-size effect</w:t>
            </w:r>
          </w:p>
        </w:tc>
      </w:tr>
      <w:tr>
        <w:tc>
          <w:tcPr>
            <w:tcW w:type="dxa" w:w="648"/>
            <w:vAlign w:val="center"/>
          </w:tcPr>
          <w:p>
            <w:pPr>
              <w:spacing w:after="0"/>
            </w:pPr>
            <w:r/>
            <w:r>
              <w:rPr>
                <w:rFonts w:ascii="Times New Roman" w:hAnsi="Times New Roman" w:eastAsia="Times New Roman"/>
                <w:b w:val="0"/>
                <w:sz w:val="21"/>
              </w:rPr>
              <w:t>4</w:t>
            </w:r>
          </w:p>
        </w:tc>
        <w:tc>
          <w:tcPr>
            <w:tcW w:type="dxa" w:w="1656"/>
            <w:vAlign w:val="center"/>
          </w:tcPr>
          <w:p>
            <w:pPr>
              <w:spacing w:after="0"/>
            </w:pPr>
            <w:r/>
            <w:r>
              <w:rPr>
                <w:rFonts w:ascii="Times New Roman" w:hAnsi="Times New Roman" w:eastAsia="Times New Roman"/>
                <w:b w:val="0"/>
                <w:sz w:val="21"/>
              </w:rPr>
              <w:t>design_block</w:t>
            </w:r>
          </w:p>
        </w:tc>
        <w:tc>
          <w:tcPr>
            <w:tcW w:type="dxa" w:w="1080"/>
            <w:vAlign w:val="center"/>
          </w:tcPr>
          <w:p>
            <w:pPr>
              <w:spacing w:after="0"/>
            </w:pPr>
            <w:r/>
            <w:r>
              <w:rPr>
                <w:rFonts w:ascii="Times New Roman" w:hAnsi="Times New Roman" w:eastAsia="Times New Roman"/>
                <w:b w:val="0"/>
                <w:sz w:val="21"/>
              </w:rPr>
              <w:t>1,119.0</w:t>
            </w:r>
          </w:p>
        </w:tc>
        <w:tc>
          <w:tcPr>
            <w:tcW w:type="dxa" w:w="1512"/>
            <w:vAlign w:val="center"/>
          </w:tcPr>
          <w:p>
            <w:pPr>
              <w:spacing w:after="0"/>
            </w:pPr>
            <w:r/>
            <w:r>
              <w:rPr>
                <w:rFonts w:ascii="Times New Roman" w:hAnsi="Times New Roman" w:eastAsia="Times New Roman"/>
                <w:b w:val="0"/>
                <w:sz w:val="21"/>
              </w:rPr>
              <w:t>&lt; 2.2 × 10^-16</w:t>
            </w:r>
          </w:p>
        </w:tc>
        <w:tc>
          <w:tcPr>
            <w:tcW w:type="dxa" w:w="4320"/>
            <w:vAlign w:val="center"/>
          </w:tcPr>
          <w:p>
            <w:pPr>
              <w:spacing w:after="0"/>
            </w:pPr>
            <w:r/>
            <w:r>
              <w:rPr>
                <w:rFonts w:ascii="Times New Roman" w:hAnsi="Times New Roman" w:eastAsia="Times New Roman"/>
                <w:b w:val="0"/>
                <w:sz w:val="21"/>
              </w:rPr>
              <w:t>Strong distribution-design effect</w:t>
            </w:r>
          </w:p>
        </w:tc>
      </w:tr>
      <w:tr>
        <w:tc>
          <w:tcPr>
            <w:tcW w:type="dxa" w:w="648"/>
            <w:vAlign w:val="center"/>
          </w:tcPr>
          <w:p>
            <w:pPr>
              <w:spacing w:after="0"/>
            </w:pPr>
            <w:r/>
            <w:r>
              <w:rPr>
                <w:rFonts w:ascii="Times New Roman" w:hAnsi="Times New Roman" w:eastAsia="Times New Roman"/>
                <w:b w:val="0"/>
                <w:sz w:val="21"/>
              </w:rPr>
              <w:t>5</w:t>
            </w:r>
          </w:p>
        </w:tc>
        <w:tc>
          <w:tcPr>
            <w:tcW w:type="dxa" w:w="1656"/>
            <w:vAlign w:val="center"/>
          </w:tcPr>
          <w:p>
            <w:pPr>
              <w:spacing w:after="0"/>
            </w:pPr>
            <w:r/>
            <w:r>
              <w:rPr>
                <w:rFonts w:ascii="Times New Roman" w:hAnsi="Times New Roman" w:eastAsia="Times New Roman"/>
                <w:b w:val="0"/>
                <w:sz w:val="21"/>
              </w:rPr>
              <w:t>theta_true</w:t>
            </w:r>
          </w:p>
        </w:tc>
        <w:tc>
          <w:tcPr>
            <w:tcW w:type="dxa" w:w="1080"/>
            <w:vAlign w:val="center"/>
          </w:tcPr>
          <w:p>
            <w:pPr>
              <w:spacing w:after="0"/>
            </w:pPr>
            <w:r/>
            <w:r>
              <w:rPr>
                <w:rFonts w:ascii="Times New Roman" w:hAnsi="Times New Roman" w:eastAsia="Times New Roman"/>
                <w:b w:val="0"/>
                <w:sz w:val="21"/>
              </w:rPr>
              <w:t>737.65</w:t>
            </w:r>
          </w:p>
        </w:tc>
        <w:tc>
          <w:tcPr>
            <w:tcW w:type="dxa" w:w="1512"/>
            <w:vAlign w:val="center"/>
          </w:tcPr>
          <w:p>
            <w:pPr>
              <w:spacing w:after="0"/>
            </w:pPr>
            <w:r/>
            <w:r>
              <w:rPr>
                <w:rFonts w:ascii="Times New Roman" w:hAnsi="Times New Roman" w:eastAsia="Times New Roman"/>
                <w:b w:val="0"/>
                <w:sz w:val="21"/>
              </w:rPr>
              <w:t>&lt; 2.2 × 10^-16</w:t>
            </w:r>
          </w:p>
        </w:tc>
        <w:tc>
          <w:tcPr>
            <w:tcW w:type="dxa" w:w="4320"/>
            <w:vAlign w:val="center"/>
          </w:tcPr>
          <w:p>
            <w:pPr>
              <w:spacing w:after="0"/>
            </w:pPr>
            <w:r/>
            <w:r>
              <w:rPr>
                <w:rFonts w:ascii="Times New Roman" w:hAnsi="Times New Roman" w:eastAsia="Times New Roman"/>
                <w:b w:val="0"/>
                <w:sz w:val="21"/>
              </w:rPr>
              <w:t>Moderate effect</w:t>
            </w:r>
          </w:p>
        </w:tc>
      </w:tr>
      <w:tr>
        <w:tc>
          <w:tcPr>
            <w:tcW w:type="dxa" w:w="648"/>
            <w:vAlign w:val="center"/>
          </w:tcPr>
          <w:p>
            <w:pPr>
              <w:spacing w:after="0"/>
            </w:pPr>
            <w:r/>
            <w:r>
              <w:rPr>
                <w:rFonts w:ascii="Times New Roman" w:hAnsi="Times New Roman" w:eastAsia="Times New Roman"/>
                <w:b w:val="0"/>
                <w:sz w:val="21"/>
              </w:rPr>
              <w:t>6</w:t>
            </w:r>
          </w:p>
        </w:tc>
        <w:tc>
          <w:tcPr>
            <w:tcW w:type="dxa" w:w="1656"/>
            <w:vAlign w:val="center"/>
          </w:tcPr>
          <w:p>
            <w:pPr>
              <w:spacing w:after="0"/>
            </w:pPr>
            <w:r/>
            <w:r>
              <w:rPr>
                <w:rFonts w:ascii="Times New Roman" w:hAnsi="Times New Roman" w:eastAsia="Times New Roman"/>
                <w:b w:val="0"/>
                <w:sz w:val="21"/>
              </w:rPr>
              <w:t>theta_CV</w:t>
            </w:r>
          </w:p>
        </w:tc>
        <w:tc>
          <w:tcPr>
            <w:tcW w:type="dxa" w:w="1080"/>
            <w:vAlign w:val="center"/>
          </w:tcPr>
          <w:p>
            <w:pPr>
              <w:spacing w:after="0"/>
            </w:pPr>
            <w:r/>
            <w:r>
              <w:rPr>
                <w:rFonts w:ascii="Times New Roman" w:hAnsi="Times New Roman" w:eastAsia="Times New Roman"/>
                <w:b w:val="0"/>
                <w:sz w:val="21"/>
              </w:rPr>
              <w:t>34.65</w:t>
            </w:r>
          </w:p>
        </w:tc>
        <w:tc>
          <w:tcPr>
            <w:tcW w:type="dxa" w:w="1512"/>
            <w:vAlign w:val="center"/>
          </w:tcPr>
          <w:p>
            <w:pPr>
              <w:spacing w:after="0"/>
            </w:pPr>
            <w:r/>
            <w:r>
              <w:rPr>
                <w:rFonts w:ascii="Times New Roman" w:hAnsi="Times New Roman" w:eastAsia="Times New Roman"/>
                <w:b w:val="0"/>
                <w:sz w:val="21"/>
              </w:rPr>
              <w:t>9.48 × 10^-16</w:t>
            </w:r>
          </w:p>
        </w:tc>
        <w:tc>
          <w:tcPr>
            <w:tcW w:type="dxa" w:w="4320"/>
            <w:vAlign w:val="center"/>
          </w:tcPr>
          <w:p>
            <w:pPr>
              <w:spacing w:after="0"/>
            </w:pPr>
            <w:r/>
            <w:r>
              <w:rPr>
                <w:rFonts w:ascii="Times New Roman" w:hAnsi="Times New Roman" w:eastAsia="Times New Roman"/>
                <w:b w:val="0"/>
                <w:sz w:val="21"/>
              </w:rPr>
              <w:t>Statistically clear but comparatively small</w:t>
            </w:r>
          </w:p>
        </w:tc>
      </w:tr>
      <w:tr>
        <w:tc>
          <w:tcPr>
            <w:tcW w:type="dxa" w:w="648"/>
            <w:vAlign w:val="center"/>
          </w:tcPr>
          <w:p>
            <w:pPr>
              <w:spacing w:after="0"/>
            </w:pPr>
            <w:r/>
            <w:r>
              <w:rPr>
                <w:rFonts w:ascii="Times New Roman" w:hAnsi="Times New Roman" w:eastAsia="Times New Roman"/>
                <w:b w:val="0"/>
                <w:sz w:val="21"/>
              </w:rPr>
              <w:t>7</w:t>
            </w:r>
          </w:p>
        </w:tc>
        <w:tc>
          <w:tcPr>
            <w:tcW w:type="dxa" w:w="1656"/>
            <w:vAlign w:val="center"/>
          </w:tcPr>
          <w:p>
            <w:pPr>
              <w:spacing w:after="0"/>
            </w:pPr>
            <w:r/>
            <w:r>
              <w:rPr>
                <w:rFonts w:ascii="Times New Roman" w:hAnsi="Times New Roman" w:eastAsia="Times New Roman"/>
                <w:b w:val="0"/>
                <w:sz w:val="21"/>
              </w:rPr>
              <w:t>p1</w:t>
            </w:r>
          </w:p>
        </w:tc>
        <w:tc>
          <w:tcPr>
            <w:tcW w:type="dxa" w:w="1080"/>
            <w:vAlign w:val="center"/>
          </w:tcPr>
          <w:p>
            <w:pPr>
              <w:spacing w:after="0"/>
            </w:pPr>
            <w:r/>
            <w:r>
              <w:rPr>
                <w:rFonts w:ascii="Times New Roman" w:hAnsi="Times New Roman" w:eastAsia="Times New Roman"/>
                <w:b w:val="0"/>
                <w:sz w:val="21"/>
              </w:rPr>
              <w:t>1.69</w:t>
            </w:r>
          </w:p>
        </w:tc>
        <w:tc>
          <w:tcPr>
            <w:tcW w:type="dxa" w:w="1512"/>
            <w:vAlign w:val="center"/>
          </w:tcPr>
          <w:p>
            <w:pPr>
              <w:spacing w:after="0"/>
            </w:pPr>
            <w:r/>
            <w:r>
              <w:rPr>
                <w:rFonts w:ascii="Times New Roman" w:hAnsi="Times New Roman" w:eastAsia="Times New Roman"/>
                <w:b w:val="0"/>
                <w:sz w:val="21"/>
              </w:rPr>
              <w:t>0.1934</w:t>
            </w:r>
          </w:p>
        </w:tc>
        <w:tc>
          <w:tcPr>
            <w:tcW w:type="dxa" w:w="4320"/>
            <w:vAlign w:val="center"/>
          </w:tcPr>
          <w:p>
            <w:pPr>
              <w:spacing w:after="0"/>
            </w:pPr>
            <w:r/>
            <w:r>
              <w:rPr>
                <w:rFonts w:ascii="Times New Roman" w:hAnsi="Times New Roman" w:eastAsia="Times New Roman"/>
                <w:b w:val="0"/>
                <w:sz w:val="21"/>
              </w:rPr>
              <w:t>No detectable adjusted main effect</w:t>
            </w:r>
          </w:p>
        </w:tc>
      </w:tr>
      <w:tr>
        <w:tc>
          <w:tcPr>
            <w:tcW w:type="dxa" w:w="648"/>
            <w:vAlign w:val="center"/>
          </w:tcPr>
          <w:p>
            <w:pPr>
              <w:spacing w:after="0"/>
            </w:pPr>
            <w:r/>
            <w:r>
              <w:rPr>
                <w:rFonts w:ascii="Times New Roman" w:hAnsi="Times New Roman" w:eastAsia="Times New Roman"/>
                <w:b w:val="0"/>
                <w:sz w:val="21"/>
              </w:rPr>
              <w:t>8</w:t>
            </w:r>
          </w:p>
        </w:tc>
        <w:tc>
          <w:tcPr>
            <w:tcW w:type="dxa" w:w="1656"/>
            <w:vAlign w:val="center"/>
          </w:tcPr>
          <w:p>
            <w:pPr>
              <w:spacing w:after="0"/>
            </w:pPr>
            <w:r/>
            <w:r>
              <w:rPr>
                <w:rFonts w:ascii="Times New Roman" w:hAnsi="Times New Roman" w:eastAsia="Times New Roman"/>
                <w:b w:val="0"/>
                <w:sz w:val="21"/>
              </w:rPr>
              <w:t>p2</w:t>
            </w:r>
          </w:p>
        </w:tc>
        <w:tc>
          <w:tcPr>
            <w:tcW w:type="dxa" w:w="1080"/>
            <w:vAlign w:val="center"/>
          </w:tcPr>
          <w:p>
            <w:pPr>
              <w:spacing w:after="0"/>
            </w:pPr>
            <w:r/>
            <w:r>
              <w:rPr>
                <w:rFonts w:ascii="Times New Roman" w:hAnsi="Times New Roman" w:eastAsia="Times New Roman"/>
                <w:b w:val="0"/>
                <w:sz w:val="21"/>
              </w:rPr>
              <w:t>0.31</w:t>
            </w:r>
          </w:p>
        </w:tc>
        <w:tc>
          <w:tcPr>
            <w:tcW w:type="dxa" w:w="1512"/>
            <w:vAlign w:val="center"/>
          </w:tcPr>
          <w:p>
            <w:pPr>
              <w:spacing w:after="0"/>
            </w:pPr>
            <w:r/>
            <w:r>
              <w:rPr>
                <w:rFonts w:ascii="Times New Roman" w:hAnsi="Times New Roman" w:eastAsia="Times New Roman"/>
                <w:b w:val="0"/>
                <w:sz w:val="21"/>
              </w:rPr>
              <w:t>0.5803</w:t>
            </w:r>
          </w:p>
        </w:tc>
        <w:tc>
          <w:tcPr>
            <w:tcW w:type="dxa" w:w="4320"/>
            <w:vAlign w:val="center"/>
          </w:tcPr>
          <w:p>
            <w:pPr>
              <w:spacing w:after="0"/>
            </w:pPr>
            <w:r/>
            <w:r>
              <w:rPr>
                <w:rFonts w:ascii="Times New Roman" w:hAnsi="Times New Roman" w:eastAsia="Times New Roman"/>
                <w:b w:val="0"/>
                <w:sz w:val="21"/>
              </w:rPr>
              <w:t>No detectable adjusted main effect</w:t>
            </w:r>
          </w:p>
        </w:tc>
      </w:tr>
    </w:tbl>
    <w:p>
      <w:pPr>
        <w:spacing w:after="0"/>
      </w:pPr>
    </w:p>
    <w:p>
      <w:pPr>
        <w:spacing w:after="120"/>
      </w:pPr>
      <w:r>
        <w:rPr>
          <w:rFonts w:ascii="Times New Roman" w:hAnsi="Times New Roman" w:eastAsia="Times New Roman"/>
          <w:sz w:val="24"/>
        </w:rPr>
        <w:t>Method performance also varied across several experimental conditions. The strongest method-dependent response was method × sigma (F = 859.09), followed by method × G (F = 193.32), method × mean_nsamp (F = 84.57), method × theta_true (F = 73.58), and method × design_block (F = 61.34). The method × theta_CV interaction was statistically significant but small relative to the other interactions (F = 4.67). Method × p1 and method × p2 were not significant. These results indicate that relative method performance changes most with noise level and the number of groups, and changes least with the two modeled simplex coordinates.</w:t>
      </w:r>
    </w:p>
    <w:tbl>
      <w:tblPr>
        <w:tblStyle w:val="TableGrid"/>
        <w:tblW w:type="auto" w:w="0"/>
        <w:jc w:val="center"/>
        <w:tblLook w:firstColumn="1" w:firstRow="1" w:lastColumn="0" w:lastRow="0" w:noHBand="0" w:noVBand="1" w:val="04A0"/>
      </w:tblPr>
      <w:tblGrid>
        <w:gridCol w:w="2160"/>
        <w:gridCol w:w="2160"/>
        <w:gridCol w:w="2160"/>
        <w:gridCol w:w="2160"/>
        <w:gridCol w:w="2160"/>
      </w:tblGrid>
      <w:tr>
        <w:tc>
          <w:tcPr>
            <w:tcW w:type="dxa" w:w="648"/>
            <w:vAlign w:val="center"/>
            <w:shd w:fill="D9EAF7"/>
          </w:tcPr>
          <w:p>
            <w:pPr>
              <w:spacing w:after="0"/>
            </w:pPr>
            <w:r/>
            <w:r>
              <w:rPr>
                <w:rFonts w:ascii="Times New Roman" w:hAnsi="Times New Roman" w:eastAsia="Times New Roman"/>
                <w:b/>
                <w:sz w:val="21"/>
              </w:rPr>
              <w:t>Rank</w:t>
            </w:r>
          </w:p>
        </w:tc>
        <w:tc>
          <w:tcPr>
            <w:tcW w:type="dxa" w:w="2232"/>
            <w:vAlign w:val="center"/>
            <w:shd w:fill="D9EAF7"/>
          </w:tcPr>
          <w:p>
            <w:pPr>
              <w:spacing w:after="0"/>
            </w:pPr>
            <w:r/>
            <w:r>
              <w:rPr>
                <w:rFonts w:ascii="Times New Roman" w:hAnsi="Times New Roman" w:eastAsia="Times New Roman"/>
                <w:b/>
                <w:sz w:val="21"/>
              </w:rPr>
              <w:t>Interaction</w:t>
            </w:r>
          </w:p>
        </w:tc>
        <w:tc>
          <w:tcPr>
            <w:tcW w:type="dxa" w:w="1080"/>
            <w:vAlign w:val="center"/>
            <w:shd w:fill="D9EAF7"/>
          </w:tcPr>
          <w:p>
            <w:pPr>
              <w:spacing w:after="0"/>
            </w:pPr>
            <w:r/>
            <w:r>
              <w:rPr>
                <w:rFonts w:ascii="Times New Roman" w:hAnsi="Times New Roman" w:eastAsia="Times New Roman"/>
                <w:b/>
                <w:sz w:val="21"/>
              </w:rPr>
              <w:t>F statistic</w:t>
            </w:r>
          </w:p>
        </w:tc>
        <w:tc>
          <w:tcPr>
            <w:tcW w:type="dxa" w:w="1512"/>
            <w:vAlign w:val="center"/>
            <w:shd w:fill="D9EAF7"/>
          </w:tcPr>
          <w:p>
            <w:pPr>
              <w:spacing w:after="0"/>
            </w:pPr>
            <w:r/>
            <w:r>
              <w:rPr>
                <w:rFonts w:ascii="Times New Roman" w:hAnsi="Times New Roman" w:eastAsia="Times New Roman"/>
                <w:b/>
                <w:sz w:val="21"/>
              </w:rPr>
              <w:t>p-value</w:t>
            </w:r>
          </w:p>
        </w:tc>
        <w:tc>
          <w:tcPr>
            <w:tcW w:type="dxa" w:w="3888"/>
            <w:vAlign w:val="center"/>
            <w:shd w:fill="D9EAF7"/>
          </w:tcPr>
          <w:p>
            <w:pPr>
              <w:spacing w:after="0"/>
            </w:pPr>
            <w:r/>
            <w:r>
              <w:rPr>
                <w:rFonts w:ascii="Times New Roman" w:hAnsi="Times New Roman" w:eastAsia="Times New Roman"/>
                <w:b/>
                <w:sz w:val="21"/>
              </w:rPr>
              <w:t>Interpretation</w:t>
            </w:r>
          </w:p>
        </w:tc>
      </w:tr>
      <w:tr>
        <w:tc>
          <w:tcPr>
            <w:tcW w:type="dxa" w:w="648"/>
            <w:vAlign w:val="center"/>
          </w:tcPr>
          <w:p>
            <w:pPr>
              <w:spacing w:after="0"/>
            </w:pPr>
            <w:r/>
            <w:r>
              <w:rPr>
                <w:rFonts w:ascii="Times New Roman" w:hAnsi="Times New Roman" w:eastAsia="Times New Roman"/>
                <w:b w:val="0"/>
                <w:sz w:val="21"/>
              </w:rPr>
              <w:t>1</w:t>
            </w:r>
          </w:p>
        </w:tc>
        <w:tc>
          <w:tcPr>
            <w:tcW w:type="dxa" w:w="2232"/>
            <w:vAlign w:val="center"/>
          </w:tcPr>
          <w:p>
            <w:pPr>
              <w:spacing w:after="0"/>
            </w:pPr>
            <w:r/>
            <w:r>
              <w:rPr>
                <w:rFonts w:ascii="Times New Roman" w:hAnsi="Times New Roman" w:eastAsia="Times New Roman"/>
                <w:b w:val="0"/>
                <w:sz w:val="21"/>
              </w:rPr>
              <w:t>method × sigma</w:t>
            </w:r>
          </w:p>
        </w:tc>
        <w:tc>
          <w:tcPr>
            <w:tcW w:type="dxa" w:w="1080"/>
            <w:vAlign w:val="center"/>
          </w:tcPr>
          <w:p>
            <w:pPr>
              <w:spacing w:after="0"/>
            </w:pPr>
            <w:r/>
            <w:r>
              <w:rPr>
                <w:rFonts w:ascii="Times New Roman" w:hAnsi="Times New Roman" w:eastAsia="Times New Roman"/>
                <w:b w:val="0"/>
                <w:sz w:val="21"/>
              </w:rPr>
              <w:t>859.09</w:t>
            </w:r>
          </w:p>
        </w:tc>
        <w:tc>
          <w:tcPr>
            <w:tcW w:type="dxa" w:w="1512"/>
            <w:vAlign w:val="center"/>
          </w:tcPr>
          <w:p>
            <w:pPr>
              <w:spacing w:after="0"/>
            </w:pPr>
            <w:r/>
            <w:r>
              <w:rPr>
                <w:rFonts w:ascii="Times New Roman" w:hAnsi="Times New Roman" w:eastAsia="Times New Roman"/>
                <w:b w:val="0"/>
                <w:sz w:val="21"/>
              </w:rPr>
              <w:t>&lt; 2.2 × 10^-16</w:t>
            </w:r>
          </w:p>
        </w:tc>
        <w:tc>
          <w:tcPr>
            <w:tcW w:type="dxa" w:w="3888"/>
            <w:vAlign w:val="center"/>
          </w:tcPr>
          <w:p>
            <w:pPr>
              <w:spacing w:after="0"/>
            </w:pPr>
            <w:r/>
            <w:r>
              <w:rPr>
                <w:rFonts w:ascii="Times New Roman" w:hAnsi="Times New Roman" w:eastAsia="Times New Roman"/>
                <w:b w:val="0"/>
                <w:sz w:val="21"/>
              </w:rPr>
              <w:t>Strongest change in relative method performance</w:t>
            </w:r>
          </w:p>
        </w:tc>
      </w:tr>
      <w:tr>
        <w:tc>
          <w:tcPr>
            <w:tcW w:type="dxa" w:w="648"/>
            <w:vAlign w:val="center"/>
          </w:tcPr>
          <w:p>
            <w:pPr>
              <w:spacing w:after="0"/>
            </w:pPr>
            <w:r/>
            <w:r>
              <w:rPr>
                <w:rFonts w:ascii="Times New Roman" w:hAnsi="Times New Roman" w:eastAsia="Times New Roman"/>
                <w:b w:val="0"/>
                <w:sz w:val="21"/>
              </w:rPr>
              <w:t>2</w:t>
            </w:r>
          </w:p>
        </w:tc>
        <w:tc>
          <w:tcPr>
            <w:tcW w:type="dxa" w:w="2232"/>
            <w:vAlign w:val="center"/>
          </w:tcPr>
          <w:p>
            <w:pPr>
              <w:spacing w:after="0"/>
            </w:pPr>
            <w:r/>
            <w:r>
              <w:rPr>
                <w:rFonts w:ascii="Times New Roman" w:hAnsi="Times New Roman" w:eastAsia="Times New Roman"/>
                <w:b w:val="0"/>
                <w:sz w:val="21"/>
              </w:rPr>
              <w:t>method × G</w:t>
            </w:r>
          </w:p>
        </w:tc>
        <w:tc>
          <w:tcPr>
            <w:tcW w:type="dxa" w:w="1080"/>
            <w:vAlign w:val="center"/>
          </w:tcPr>
          <w:p>
            <w:pPr>
              <w:spacing w:after="0"/>
            </w:pPr>
            <w:r/>
            <w:r>
              <w:rPr>
                <w:rFonts w:ascii="Times New Roman" w:hAnsi="Times New Roman" w:eastAsia="Times New Roman"/>
                <w:b w:val="0"/>
                <w:sz w:val="21"/>
              </w:rPr>
              <w:t>193.32</w:t>
            </w:r>
          </w:p>
        </w:tc>
        <w:tc>
          <w:tcPr>
            <w:tcW w:type="dxa" w:w="1512"/>
            <w:vAlign w:val="center"/>
          </w:tcPr>
          <w:p>
            <w:pPr>
              <w:spacing w:after="0"/>
            </w:pPr>
            <w:r/>
            <w:r>
              <w:rPr>
                <w:rFonts w:ascii="Times New Roman" w:hAnsi="Times New Roman" w:eastAsia="Times New Roman"/>
                <w:b w:val="0"/>
                <w:sz w:val="21"/>
              </w:rPr>
              <w:t>&lt; 2.2 × 10^-16</w:t>
            </w:r>
          </w:p>
        </w:tc>
        <w:tc>
          <w:tcPr>
            <w:tcW w:type="dxa" w:w="3888"/>
            <w:vAlign w:val="center"/>
          </w:tcPr>
          <w:p>
            <w:pPr>
              <w:spacing w:after="0"/>
            </w:pPr>
            <w:r/>
            <w:r>
              <w:rPr>
                <w:rFonts w:ascii="Times New Roman" w:hAnsi="Times New Roman" w:eastAsia="Times New Roman"/>
                <w:b w:val="0"/>
                <w:sz w:val="21"/>
              </w:rPr>
              <w:t>Large method-specific group-number response</w:t>
            </w:r>
          </w:p>
        </w:tc>
      </w:tr>
      <w:tr>
        <w:tc>
          <w:tcPr>
            <w:tcW w:type="dxa" w:w="648"/>
            <w:vAlign w:val="center"/>
          </w:tcPr>
          <w:p>
            <w:pPr>
              <w:spacing w:after="0"/>
            </w:pPr>
            <w:r/>
            <w:r>
              <w:rPr>
                <w:rFonts w:ascii="Times New Roman" w:hAnsi="Times New Roman" w:eastAsia="Times New Roman"/>
                <w:b w:val="0"/>
                <w:sz w:val="21"/>
              </w:rPr>
              <w:t>3</w:t>
            </w:r>
          </w:p>
        </w:tc>
        <w:tc>
          <w:tcPr>
            <w:tcW w:type="dxa" w:w="2232"/>
            <w:vAlign w:val="center"/>
          </w:tcPr>
          <w:p>
            <w:pPr>
              <w:spacing w:after="0"/>
            </w:pPr>
            <w:r/>
            <w:r>
              <w:rPr>
                <w:rFonts w:ascii="Times New Roman" w:hAnsi="Times New Roman" w:eastAsia="Times New Roman"/>
                <w:b w:val="0"/>
                <w:sz w:val="21"/>
              </w:rPr>
              <w:t>method × mean_nsamp</w:t>
            </w:r>
          </w:p>
        </w:tc>
        <w:tc>
          <w:tcPr>
            <w:tcW w:type="dxa" w:w="1080"/>
            <w:vAlign w:val="center"/>
          </w:tcPr>
          <w:p>
            <w:pPr>
              <w:spacing w:after="0"/>
            </w:pPr>
            <w:r/>
            <w:r>
              <w:rPr>
                <w:rFonts w:ascii="Times New Roman" w:hAnsi="Times New Roman" w:eastAsia="Times New Roman"/>
                <w:b w:val="0"/>
                <w:sz w:val="21"/>
              </w:rPr>
              <w:t>84.57</w:t>
            </w:r>
          </w:p>
        </w:tc>
        <w:tc>
          <w:tcPr>
            <w:tcW w:type="dxa" w:w="1512"/>
            <w:vAlign w:val="center"/>
          </w:tcPr>
          <w:p>
            <w:pPr>
              <w:spacing w:after="0"/>
            </w:pPr>
            <w:r/>
            <w:r>
              <w:rPr>
                <w:rFonts w:ascii="Times New Roman" w:hAnsi="Times New Roman" w:eastAsia="Times New Roman"/>
                <w:b w:val="0"/>
                <w:sz w:val="21"/>
              </w:rPr>
              <w:t>&lt; 2.2 × 10^-16</w:t>
            </w:r>
          </w:p>
        </w:tc>
        <w:tc>
          <w:tcPr>
            <w:tcW w:type="dxa" w:w="3888"/>
            <w:vAlign w:val="center"/>
          </w:tcPr>
          <w:p>
            <w:pPr>
              <w:spacing w:after="0"/>
            </w:pPr>
            <w:r/>
            <w:r>
              <w:rPr>
                <w:rFonts w:ascii="Times New Roman" w:hAnsi="Times New Roman" w:eastAsia="Times New Roman"/>
                <w:b w:val="0"/>
                <w:sz w:val="21"/>
              </w:rPr>
              <w:t>Method sensitivity differs with sample size</w:t>
            </w:r>
          </w:p>
        </w:tc>
      </w:tr>
      <w:tr>
        <w:tc>
          <w:tcPr>
            <w:tcW w:type="dxa" w:w="648"/>
            <w:vAlign w:val="center"/>
          </w:tcPr>
          <w:p>
            <w:pPr>
              <w:spacing w:after="0"/>
            </w:pPr>
            <w:r/>
            <w:r>
              <w:rPr>
                <w:rFonts w:ascii="Times New Roman" w:hAnsi="Times New Roman" w:eastAsia="Times New Roman"/>
                <w:b w:val="0"/>
                <w:sz w:val="21"/>
              </w:rPr>
              <w:t>4</w:t>
            </w:r>
          </w:p>
        </w:tc>
        <w:tc>
          <w:tcPr>
            <w:tcW w:type="dxa" w:w="2232"/>
            <w:vAlign w:val="center"/>
          </w:tcPr>
          <w:p>
            <w:pPr>
              <w:spacing w:after="0"/>
            </w:pPr>
            <w:r/>
            <w:r>
              <w:rPr>
                <w:rFonts w:ascii="Times New Roman" w:hAnsi="Times New Roman" w:eastAsia="Times New Roman"/>
                <w:b w:val="0"/>
                <w:sz w:val="21"/>
              </w:rPr>
              <w:t>method × theta_true</w:t>
            </w:r>
          </w:p>
        </w:tc>
        <w:tc>
          <w:tcPr>
            <w:tcW w:type="dxa" w:w="1080"/>
            <w:vAlign w:val="center"/>
          </w:tcPr>
          <w:p>
            <w:pPr>
              <w:spacing w:after="0"/>
            </w:pPr>
            <w:r/>
            <w:r>
              <w:rPr>
                <w:rFonts w:ascii="Times New Roman" w:hAnsi="Times New Roman" w:eastAsia="Times New Roman"/>
                <w:b w:val="0"/>
                <w:sz w:val="21"/>
              </w:rPr>
              <w:t>73.58</w:t>
            </w:r>
          </w:p>
        </w:tc>
        <w:tc>
          <w:tcPr>
            <w:tcW w:type="dxa" w:w="1512"/>
            <w:vAlign w:val="center"/>
          </w:tcPr>
          <w:p>
            <w:pPr>
              <w:spacing w:after="0"/>
            </w:pPr>
            <w:r/>
            <w:r>
              <w:rPr>
                <w:rFonts w:ascii="Times New Roman" w:hAnsi="Times New Roman" w:eastAsia="Times New Roman"/>
                <w:b w:val="0"/>
                <w:sz w:val="21"/>
              </w:rPr>
              <w:t>&lt; 2.2 × 10^-16</w:t>
            </w:r>
          </w:p>
        </w:tc>
        <w:tc>
          <w:tcPr>
            <w:tcW w:type="dxa" w:w="3888"/>
            <w:vAlign w:val="center"/>
          </w:tcPr>
          <w:p>
            <w:pPr>
              <w:spacing w:after="0"/>
            </w:pPr>
            <w:r/>
            <w:r>
              <w:rPr>
                <w:rFonts w:ascii="Times New Roman" w:hAnsi="Times New Roman" w:eastAsia="Times New Roman"/>
                <w:b w:val="0"/>
                <w:sz w:val="21"/>
              </w:rPr>
              <w:t>Moderate method-specific response</w:t>
            </w:r>
          </w:p>
        </w:tc>
      </w:tr>
      <w:tr>
        <w:tc>
          <w:tcPr>
            <w:tcW w:type="dxa" w:w="648"/>
            <w:vAlign w:val="center"/>
          </w:tcPr>
          <w:p>
            <w:pPr>
              <w:spacing w:after="0"/>
            </w:pPr>
            <w:r/>
            <w:r>
              <w:rPr>
                <w:rFonts w:ascii="Times New Roman" w:hAnsi="Times New Roman" w:eastAsia="Times New Roman"/>
                <w:b w:val="0"/>
                <w:sz w:val="21"/>
              </w:rPr>
              <w:t>5</w:t>
            </w:r>
          </w:p>
        </w:tc>
        <w:tc>
          <w:tcPr>
            <w:tcW w:type="dxa" w:w="2232"/>
            <w:vAlign w:val="center"/>
          </w:tcPr>
          <w:p>
            <w:pPr>
              <w:spacing w:after="0"/>
            </w:pPr>
            <w:r/>
            <w:r>
              <w:rPr>
                <w:rFonts w:ascii="Times New Roman" w:hAnsi="Times New Roman" w:eastAsia="Times New Roman"/>
                <w:b w:val="0"/>
                <w:sz w:val="21"/>
              </w:rPr>
              <w:t>method × design_block</w:t>
            </w:r>
          </w:p>
        </w:tc>
        <w:tc>
          <w:tcPr>
            <w:tcW w:type="dxa" w:w="1080"/>
            <w:vAlign w:val="center"/>
          </w:tcPr>
          <w:p>
            <w:pPr>
              <w:spacing w:after="0"/>
            </w:pPr>
            <w:r/>
            <w:r>
              <w:rPr>
                <w:rFonts w:ascii="Times New Roman" w:hAnsi="Times New Roman" w:eastAsia="Times New Roman"/>
                <w:b w:val="0"/>
                <w:sz w:val="21"/>
              </w:rPr>
              <w:t>61.34</w:t>
            </w:r>
          </w:p>
        </w:tc>
        <w:tc>
          <w:tcPr>
            <w:tcW w:type="dxa" w:w="1512"/>
            <w:vAlign w:val="center"/>
          </w:tcPr>
          <w:p>
            <w:pPr>
              <w:spacing w:after="0"/>
            </w:pPr>
            <w:r/>
            <w:r>
              <w:rPr>
                <w:rFonts w:ascii="Times New Roman" w:hAnsi="Times New Roman" w:eastAsia="Times New Roman"/>
                <w:b w:val="0"/>
                <w:sz w:val="21"/>
              </w:rPr>
              <w:t>&lt; 2.2 × 10^-16</w:t>
            </w:r>
          </w:p>
        </w:tc>
        <w:tc>
          <w:tcPr>
            <w:tcW w:type="dxa" w:w="3888"/>
            <w:vAlign w:val="center"/>
          </w:tcPr>
          <w:p>
            <w:pPr>
              <w:spacing w:after="0"/>
            </w:pPr>
            <w:r/>
            <w:r>
              <w:rPr>
                <w:rFonts w:ascii="Times New Roman" w:hAnsi="Times New Roman" w:eastAsia="Times New Roman"/>
                <w:b w:val="0"/>
                <w:sz w:val="21"/>
              </w:rPr>
              <w:t>Distribution-specific method differences</w:t>
            </w:r>
          </w:p>
        </w:tc>
      </w:tr>
      <w:tr>
        <w:tc>
          <w:tcPr>
            <w:tcW w:type="dxa" w:w="648"/>
            <w:vAlign w:val="center"/>
          </w:tcPr>
          <w:p>
            <w:pPr>
              <w:spacing w:after="0"/>
            </w:pPr>
            <w:r/>
            <w:r>
              <w:rPr>
                <w:rFonts w:ascii="Times New Roman" w:hAnsi="Times New Roman" w:eastAsia="Times New Roman"/>
                <w:b w:val="0"/>
                <w:sz w:val="21"/>
              </w:rPr>
              <w:t>6</w:t>
            </w:r>
          </w:p>
        </w:tc>
        <w:tc>
          <w:tcPr>
            <w:tcW w:type="dxa" w:w="2232"/>
            <w:vAlign w:val="center"/>
          </w:tcPr>
          <w:p>
            <w:pPr>
              <w:spacing w:after="0"/>
            </w:pPr>
            <w:r/>
            <w:r>
              <w:rPr>
                <w:rFonts w:ascii="Times New Roman" w:hAnsi="Times New Roman" w:eastAsia="Times New Roman"/>
                <w:b w:val="0"/>
                <w:sz w:val="21"/>
              </w:rPr>
              <w:t>method × theta_CV</w:t>
            </w:r>
          </w:p>
        </w:tc>
        <w:tc>
          <w:tcPr>
            <w:tcW w:type="dxa" w:w="1080"/>
            <w:vAlign w:val="center"/>
          </w:tcPr>
          <w:p>
            <w:pPr>
              <w:spacing w:after="0"/>
            </w:pPr>
            <w:r/>
            <w:r>
              <w:rPr>
                <w:rFonts w:ascii="Times New Roman" w:hAnsi="Times New Roman" w:eastAsia="Times New Roman"/>
                <w:b w:val="0"/>
                <w:sz w:val="21"/>
              </w:rPr>
              <w:t>4.67</w:t>
            </w:r>
          </w:p>
        </w:tc>
        <w:tc>
          <w:tcPr>
            <w:tcW w:type="dxa" w:w="1512"/>
            <w:vAlign w:val="center"/>
          </w:tcPr>
          <w:p>
            <w:pPr>
              <w:spacing w:after="0"/>
            </w:pPr>
            <w:r/>
            <w:r>
              <w:rPr>
                <w:rFonts w:ascii="Times New Roman" w:hAnsi="Times New Roman" w:eastAsia="Times New Roman"/>
                <w:b w:val="0"/>
                <w:sz w:val="21"/>
              </w:rPr>
              <w:t>1.01 × 10^-5</w:t>
            </w:r>
          </w:p>
        </w:tc>
        <w:tc>
          <w:tcPr>
            <w:tcW w:type="dxa" w:w="3888"/>
            <w:vAlign w:val="center"/>
          </w:tcPr>
          <w:p>
            <w:pPr>
              <w:spacing w:after="0"/>
            </w:pPr>
            <w:r/>
            <w:r>
              <w:rPr>
                <w:rFonts w:ascii="Times New Roman" w:hAnsi="Times New Roman" w:eastAsia="Times New Roman"/>
                <w:b w:val="0"/>
                <w:sz w:val="21"/>
              </w:rPr>
              <w:t>Small but detectable interaction</w:t>
            </w:r>
          </w:p>
        </w:tc>
      </w:tr>
      <w:tr>
        <w:tc>
          <w:tcPr>
            <w:tcW w:type="dxa" w:w="648"/>
            <w:vAlign w:val="center"/>
          </w:tcPr>
          <w:p>
            <w:pPr>
              <w:spacing w:after="0"/>
            </w:pPr>
            <w:r/>
            <w:r>
              <w:rPr>
                <w:rFonts w:ascii="Times New Roman" w:hAnsi="Times New Roman" w:eastAsia="Times New Roman"/>
                <w:b w:val="0"/>
                <w:sz w:val="21"/>
              </w:rPr>
              <w:t>7</w:t>
            </w:r>
          </w:p>
        </w:tc>
        <w:tc>
          <w:tcPr>
            <w:tcW w:type="dxa" w:w="2232"/>
            <w:vAlign w:val="center"/>
          </w:tcPr>
          <w:p>
            <w:pPr>
              <w:spacing w:after="0"/>
            </w:pPr>
            <w:r/>
            <w:r>
              <w:rPr>
                <w:rFonts w:ascii="Times New Roman" w:hAnsi="Times New Roman" w:eastAsia="Times New Roman"/>
                <w:b w:val="0"/>
                <w:sz w:val="21"/>
              </w:rPr>
              <w:t>method × p1</w:t>
            </w:r>
          </w:p>
        </w:tc>
        <w:tc>
          <w:tcPr>
            <w:tcW w:type="dxa" w:w="1080"/>
            <w:vAlign w:val="center"/>
          </w:tcPr>
          <w:p>
            <w:pPr>
              <w:spacing w:after="0"/>
            </w:pPr>
            <w:r/>
            <w:r>
              <w:rPr>
                <w:rFonts w:ascii="Times New Roman" w:hAnsi="Times New Roman" w:eastAsia="Times New Roman"/>
                <w:b w:val="0"/>
                <w:sz w:val="21"/>
              </w:rPr>
              <w:t>0.73</w:t>
            </w:r>
          </w:p>
        </w:tc>
        <w:tc>
          <w:tcPr>
            <w:tcW w:type="dxa" w:w="1512"/>
            <w:vAlign w:val="center"/>
          </w:tcPr>
          <w:p>
            <w:pPr>
              <w:spacing w:after="0"/>
            </w:pPr>
            <w:r/>
            <w:r>
              <w:rPr>
                <w:rFonts w:ascii="Times New Roman" w:hAnsi="Times New Roman" w:eastAsia="Times New Roman"/>
                <w:b w:val="0"/>
                <w:sz w:val="21"/>
              </w:rPr>
              <w:t>0.5718</w:t>
            </w:r>
          </w:p>
        </w:tc>
        <w:tc>
          <w:tcPr>
            <w:tcW w:type="dxa" w:w="3888"/>
            <w:vAlign w:val="center"/>
          </w:tcPr>
          <w:p>
            <w:pPr>
              <w:spacing w:after="0"/>
            </w:pPr>
            <w:r/>
            <w:r>
              <w:rPr>
                <w:rFonts w:ascii="Times New Roman" w:hAnsi="Times New Roman" w:eastAsia="Times New Roman"/>
                <w:b w:val="0"/>
                <w:sz w:val="21"/>
              </w:rPr>
              <w:t>No detectable interaction</w:t>
            </w:r>
          </w:p>
        </w:tc>
      </w:tr>
      <w:tr>
        <w:tc>
          <w:tcPr>
            <w:tcW w:type="dxa" w:w="648"/>
            <w:vAlign w:val="center"/>
          </w:tcPr>
          <w:p>
            <w:pPr>
              <w:spacing w:after="0"/>
            </w:pPr>
            <w:r/>
            <w:r>
              <w:rPr>
                <w:rFonts w:ascii="Times New Roman" w:hAnsi="Times New Roman" w:eastAsia="Times New Roman"/>
                <w:b w:val="0"/>
                <w:sz w:val="21"/>
              </w:rPr>
              <w:t>8</w:t>
            </w:r>
          </w:p>
        </w:tc>
        <w:tc>
          <w:tcPr>
            <w:tcW w:type="dxa" w:w="2232"/>
            <w:vAlign w:val="center"/>
          </w:tcPr>
          <w:p>
            <w:pPr>
              <w:spacing w:after="0"/>
            </w:pPr>
            <w:r/>
            <w:r>
              <w:rPr>
                <w:rFonts w:ascii="Times New Roman" w:hAnsi="Times New Roman" w:eastAsia="Times New Roman"/>
                <w:b w:val="0"/>
                <w:sz w:val="21"/>
              </w:rPr>
              <w:t>method × p2</w:t>
            </w:r>
          </w:p>
        </w:tc>
        <w:tc>
          <w:tcPr>
            <w:tcW w:type="dxa" w:w="1080"/>
            <w:vAlign w:val="center"/>
          </w:tcPr>
          <w:p>
            <w:pPr>
              <w:spacing w:after="0"/>
            </w:pPr>
            <w:r/>
            <w:r>
              <w:rPr>
                <w:rFonts w:ascii="Times New Roman" w:hAnsi="Times New Roman" w:eastAsia="Times New Roman"/>
                <w:b w:val="0"/>
                <w:sz w:val="21"/>
              </w:rPr>
              <w:t>0.71</w:t>
            </w:r>
          </w:p>
        </w:tc>
        <w:tc>
          <w:tcPr>
            <w:tcW w:type="dxa" w:w="1512"/>
            <w:vAlign w:val="center"/>
          </w:tcPr>
          <w:p>
            <w:pPr>
              <w:spacing w:after="0"/>
            </w:pPr>
            <w:r/>
            <w:r>
              <w:rPr>
                <w:rFonts w:ascii="Times New Roman" w:hAnsi="Times New Roman" w:eastAsia="Times New Roman"/>
                <w:b w:val="0"/>
                <w:sz w:val="21"/>
              </w:rPr>
              <w:t>0.5857</w:t>
            </w:r>
          </w:p>
        </w:tc>
        <w:tc>
          <w:tcPr>
            <w:tcW w:type="dxa" w:w="3888"/>
            <w:vAlign w:val="center"/>
          </w:tcPr>
          <w:p>
            <w:pPr>
              <w:spacing w:after="0"/>
            </w:pPr>
            <w:r/>
            <w:r>
              <w:rPr>
                <w:rFonts w:ascii="Times New Roman" w:hAnsi="Times New Roman" w:eastAsia="Times New Roman"/>
                <w:b w:val="0"/>
                <w:sz w:val="21"/>
              </w:rPr>
              <w:t>No detectable interaction</w:t>
            </w:r>
          </w:p>
        </w:tc>
      </w:tr>
    </w:tbl>
    <w:p>
      <w:pPr>
        <w:spacing w:after="0"/>
      </w:pPr>
    </w:p>
    <w:p>
      <w:pPr>
        <w:spacing w:after="120"/>
      </w:pPr>
      <w:r>
        <w:rPr>
          <w:rFonts w:ascii="Times New Roman" w:hAnsi="Times New Roman" w:eastAsia="Times New Roman"/>
          <w:sz w:val="24"/>
        </w:rPr>
        <w:t>Because the model contains a very large effective sample, small effects can produce very small p-values. The F-statistic hierarchy is therefore more informative for practical influence than statistical significance alone. Formal effect-size measures such as marginal and semi-partial R² were not reported, so the factor ranking should not be described as a variance-partitioning result.</w:t>
      </w:r>
    </w:p>
    <w:p>
      <w:pPr>
        <w:spacing w:after="120"/>
      </w:pPr>
      <w:r>
        <w:rPr>
          <w:rFonts w:ascii="Times New Roman" w:hAnsi="Times New Roman" w:eastAsia="Times New Roman"/>
          <w:b/>
          <w:sz w:val="36"/>
        </w:rPr>
        <w:t>3. Comparative method performance</w:t>
      </w:r>
    </w:p>
    <w:p>
      <w:pPr>
        <w:spacing w:after="120"/>
      </w:pPr>
      <w:r>
        <w:rPr>
          <w:rFonts w:ascii="Times New Roman" w:hAnsi="Times New Roman" w:eastAsia="Times New Roman"/>
          <w:sz w:val="24"/>
        </w:rPr>
        <w:t>The EMMs were not averaged over all experimental-factor levels. They were evaluated at a specific reference condition: Lognormal design block, G = 4, theta_true = 2, theta_CV = 0.2, sigma = 0.25, mean_nsamp = 25, p1 = 0.16615, and p2 = 0.16710625. Lower EMMs represent lower log1p(error) and therefore greater accuracy. Conclusions from these EMMs should be interpreted as conditional on this reference environment.</w:t>
      </w:r>
    </w:p>
    <w:p>
      <w:pPr>
        <w:spacing w:after="120"/>
      </w:pPr>
      <w:r>
        <w:rPr>
          <w:rFonts w:ascii="Times New Roman" w:hAnsi="Times New Roman" w:eastAsia="Times New Roman"/>
          <w:sz w:val="24"/>
        </w:rPr>
        <w:t>When averaged equally over the three metrics at the reference condition, method iii had the lowest EMM (0.121), followed closely by method v (0.122), method iv (0.125), method ii (0.128), and method i (0.133). The Holm-adjusted iii-versus-v contrast was not significant (difference = -0.000589, p = 0.4497), so methods iii and v form the statistically indistinguishable leading global pair. All other reported global pairwise differences were significant.</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720"/>
            <w:vAlign w:val="center"/>
            <w:shd w:fill="D9EAF7"/>
          </w:tcPr>
          <w:p>
            <w:pPr>
              <w:spacing w:after="0"/>
            </w:pPr>
            <w:r/>
            <w:r>
              <w:rPr>
                <w:rFonts w:ascii="Times New Roman" w:hAnsi="Times New Roman" w:eastAsia="Times New Roman"/>
                <w:b/>
                <w:sz w:val="21"/>
              </w:rPr>
              <w:t>Rank</w:t>
            </w:r>
          </w:p>
        </w:tc>
        <w:tc>
          <w:tcPr>
            <w:tcW w:type="dxa" w:w="936"/>
            <w:vAlign w:val="center"/>
            <w:shd w:fill="D9EAF7"/>
          </w:tcPr>
          <w:p>
            <w:pPr>
              <w:spacing w:after="0"/>
            </w:pPr>
            <w:r/>
            <w:r>
              <w:rPr>
                <w:rFonts w:ascii="Times New Roman" w:hAnsi="Times New Roman" w:eastAsia="Times New Roman"/>
                <w:b/>
                <w:sz w:val="21"/>
              </w:rPr>
              <w:t>Method</w:t>
            </w:r>
          </w:p>
        </w:tc>
        <w:tc>
          <w:tcPr>
            <w:tcW w:type="dxa" w:w="1296"/>
            <w:vAlign w:val="center"/>
            <w:shd w:fill="D9EAF7"/>
          </w:tcPr>
          <w:p>
            <w:pPr>
              <w:spacing w:after="0"/>
            </w:pPr>
            <w:r/>
            <w:r>
              <w:rPr>
                <w:rFonts w:ascii="Times New Roman" w:hAnsi="Times New Roman" w:eastAsia="Times New Roman"/>
                <w:b/>
                <w:sz w:val="21"/>
              </w:rPr>
              <w:t>Overall EMM</w:t>
            </w:r>
          </w:p>
        </w:tc>
        <w:tc>
          <w:tcPr>
            <w:tcW w:type="dxa" w:w="5760"/>
            <w:vAlign w:val="center"/>
            <w:shd w:fill="D9EAF7"/>
          </w:tcPr>
          <w:p>
            <w:pPr>
              <w:spacing w:after="0"/>
            </w:pPr>
            <w:r/>
            <w:r>
              <w:rPr>
                <w:rFonts w:ascii="Times New Roman" w:hAnsi="Times New Roman" w:eastAsia="Times New Roman"/>
                <w:b/>
                <w:sz w:val="21"/>
              </w:rPr>
              <w:t>Pairwise interpretation</w:t>
            </w:r>
          </w:p>
        </w:tc>
      </w:tr>
      <w:tr>
        <w:tc>
          <w:tcPr>
            <w:tcW w:type="dxa" w:w="720"/>
            <w:vAlign w:val="center"/>
          </w:tcPr>
          <w:p>
            <w:pPr>
              <w:spacing w:after="0"/>
            </w:pPr>
            <w:r/>
            <w:r>
              <w:rPr>
                <w:rFonts w:ascii="Times New Roman" w:hAnsi="Times New Roman" w:eastAsia="Times New Roman"/>
                <w:b w:val="0"/>
                <w:sz w:val="21"/>
              </w:rPr>
              <w:t>1</w:t>
            </w:r>
          </w:p>
        </w:tc>
        <w:tc>
          <w:tcPr>
            <w:tcW w:type="dxa" w:w="936"/>
            <w:vAlign w:val="center"/>
          </w:tcPr>
          <w:p>
            <w:pPr>
              <w:spacing w:after="0"/>
            </w:pPr>
            <w:r/>
            <w:r>
              <w:rPr>
                <w:rFonts w:ascii="Times New Roman" w:hAnsi="Times New Roman" w:eastAsia="Times New Roman"/>
                <w:b w:val="0"/>
                <w:sz w:val="21"/>
              </w:rPr>
              <w:t>iii</w:t>
            </w:r>
          </w:p>
        </w:tc>
        <w:tc>
          <w:tcPr>
            <w:tcW w:type="dxa" w:w="1296"/>
            <w:vAlign w:val="center"/>
          </w:tcPr>
          <w:p>
            <w:pPr>
              <w:spacing w:after="0"/>
            </w:pPr>
            <w:r/>
            <w:r>
              <w:rPr>
                <w:rFonts w:ascii="Times New Roman" w:hAnsi="Times New Roman" w:eastAsia="Times New Roman"/>
                <w:b w:val="0"/>
                <w:sz w:val="21"/>
              </w:rPr>
              <w:t>0.121</w:t>
            </w:r>
          </w:p>
        </w:tc>
        <w:tc>
          <w:tcPr>
            <w:tcW w:type="dxa" w:w="5760"/>
            <w:vAlign w:val="center"/>
          </w:tcPr>
          <w:p>
            <w:pPr>
              <w:spacing w:after="0"/>
            </w:pPr>
            <w:r/>
            <w:r>
              <w:rPr>
                <w:rFonts w:ascii="Times New Roman" w:hAnsi="Times New Roman" w:eastAsia="Times New Roman"/>
                <w:b w:val="0"/>
                <w:sz w:val="21"/>
              </w:rPr>
              <w:t>Tied statistically with v; better than i, ii, and iv</w:t>
            </w:r>
          </w:p>
        </w:tc>
      </w:tr>
      <w:tr>
        <w:tc>
          <w:tcPr>
            <w:tcW w:type="dxa" w:w="720"/>
            <w:vAlign w:val="center"/>
          </w:tcPr>
          <w:p>
            <w:pPr>
              <w:spacing w:after="0"/>
            </w:pPr>
            <w:r/>
            <w:r>
              <w:rPr>
                <w:rFonts w:ascii="Times New Roman" w:hAnsi="Times New Roman" w:eastAsia="Times New Roman"/>
                <w:b w:val="0"/>
                <w:sz w:val="21"/>
              </w:rPr>
              <w:t>2</w:t>
            </w:r>
          </w:p>
        </w:tc>
        <w:tc>
          <w:tcPr>
            <w:tcW w:type="dxa" w:w="936"/>
            <w:vAlign w:val="center"/>
          </w:tcPr>
          <w:p>
            <w:pPr>
              <w:spacing w:after="0"/>
            </w:pPr>
            <w:r/>
            <w:r>
              <w:rPr>
                <w:rFonts w:ascii="Times New Roman" w:hAnsi="Times New Roman" w:eastAsia="Times New Roman"/>
                <w:b w:val="0"/>
                <w:sz w:val="21"/>
              </w:rPr>
              <w:t>v</w:t>
            </w:r>
          </w:p>
        </w:tc>
        <w:tc>
          <w:tcPr>
            <w:tcW w:type="dxa" w:w="1296"/>
            <w:vAlign w:val="center"/>
          </w:tcPr>
          <w:p>
            <w:pPr>
              <w:spacing w:after="0"/>
            </w:pPr>
            <w:r/>
            <w:r>
              <w:rPr>
                <w:rFonts w:ascii="Times New Roman" w:hAnsi="Times New Roman" w:eastAsia="Times New Roman"/>
                <w:b w:val="0"/>
                <w:sz w:val="21"/>
              </w:rPr>
              <w:t>0.122</w:t>
            </w:r>
          </w:p>
        </w:tc>
        <w:tc>
          <w:tcPr>
            <w:tcW w:type="dxa" w:w="5760"/>
            <w:vAlign w:val="center"/>
          </w:tcPr>
          <w:p>
            <w:pPr>
              <w:spacing w:after="0"/>
            </w:pPr>
            <w:r/>
            <w:r>
              <w:rPr>
                <w:rFonts w:ascii="Times New Roman" w:hAnsi="Times New Roman" w:eastAsia="Times New Roman"/>
                <w:b w:val="0"/>
                <w:sz w:val="21"/>
              </w:rPr>
              <w:t>Tied statistically with iii; better than i, ii, and iv</w:t>
            </w:r>
          </w:p>
        </w:tc>
      </w:tr>
      <w:tr>
        <w:tc>
          <w:tcPr>
            <w:tcW w:type="dxa" w:w="720"/>
            <w:vAlign w:val="center"/>
          </w:tcPr>
          <w:p>
            <w:pPr>
              <w:spacing w:after="0"/>
            </w:pPr>
            <w:r/>
            <w:r>
              <w:rPr>
                <w:rFonts w:ascii="Times New Roman" w:hAnsi="Times New Roman" w:eastAsia="Times New Roman"/>
                <w:b w:val="0"/>
                <w:sz w:val="21"/>
              </w:rPr>
              <w:t>3</w:t>
            </w:r>
          </w:p>
        </w:tc>
        <w:tc>
          <w:tcPr>
            <w:tcW w:type="dxa" w:w="936"/>
            <w:vAlign w:val="center"/>
          </w:tcPr>
          <w:p>
            <w:pPr>
              <w:spacing w:after="0"/>
            </w:pPr>
            <w:r/>
            <w:r>
              <w:rPr>
                <w:rFonts w:ascii="Times New Roman" w:hAnsi="Times New Roman" w:eastAsia="Times New Roman"/>
                <w:b w:val="0"/>
                <w:sz w:val="21"/>
              </w:rPr>
              <w:t>iv</w:t>
            </w:r>
          </w:p>
        </w:tc>
        <w:tc>
          <w:tcPr>
            <w:tcW w:type="dxa" w:w="1296"/>
            <w:vAlign w:val="center"/>
          </w:tcPr>
          <w:p>
            <w:pPr>
              <w:spacing w:after="0"/>
            </w:pPr>
            <w:r/>
            <w:r>
              <w:rPr>
                <w:rFonts w:ascii="Times New Roman" w:hAnsi="Times New Roman" w:eastAsia="Times New Roman"/>
                <w:b w:val="0"/>
                <w:sz w:val="21"/>
              </w:rPr>
              <w:t>0.125</w:t>
            </w:r>
          </w:p>
        </w:tc>
        <w:tc>
          <w:tcPr>
            <w:tcW w:type="dxa" w:w="5760"/>
            <w:vAlign w:val="center"/>
          </w:tcPr>
          <w:p>
            <w:pPr>
              <w:spacing w:after="0"/>
            </w:pPr>
            <w:r/>
            <w:r>
              <w:rPr>
                <w:rFonts w:ascii="Times New Roman" w:hAnsi="Times New Roman" w:eastAsia="Times New Roman"/>
                <w:b w:val="0"/>
                <w:sz w:val="21"/>
              </w:rPr>
              <w:t>Better than i and ii; worse than iii and v</w:t>
            </w:r>
          </w:p>
        </w:tc>
      </w:tr>
      <w:tr>
        <w:tc>
          <w:tcPr>
            <w:tcW w:type="dxa" w:w="720"/>
            <w:vAlign w:val="center"/>
          </w:tcPr>
          <w:p>
            <w:pPr>
              <w:spacing w:after="0"/>
            </w:pPr>
            <w:r/>
            <w:r>
              <w:rPr>
                <w:rFonts w:ascii="Times New Roman" w:hAnsi="Times New Roman" w:eastAsia="Times New Roman"/>
                <w:b w:val="0"/>
                <w:sz w:val="21"/>
              </w:rPr>
              <w:t>4</w:t>
            </w:r>
          </w:p>
        </w:tc>
        <w:tc>
          <w:tcPr>
            <w:tcW w:type="dxa" w:w="936"/>
            <w:vAlign w:val="center"/>
          </w:tcPr>
          <w:p>
            <w:pPr>
              <w:spacing w:after="0"/>
            </w:pPr>
            <w:r/>
            <w:r>
              <w:rPr>
                <w:rFonts w:ascii="Times New Roman" w:hAnsi="Times New Roman" w:eastAsia="Times New Roman"/>
                <w:b w:val="0"/>
                <w:sz w:val="21"/>
              </w:rPr>
              <w:t>ii</w:t>
            </w:r>
          </w:p>
        </w:tc>
        <w:tc>
          <w:tcPr>
            <w:tcW w:type="dxa" w:w="1296"/>
            <w:vAlign w:val="center"/>
          </w:tcPr>
          <w:p>
            <w:pPr>
              <w:spacing w:after="0"/>
            </w:pPr>
            <w:r/>
            <w:r>
              <w:rPr>
                <w:rFonts w:ascii="Times New Roman" w:hAnsi="Times New Roman" w:eastAsia="Times New Roman"/>
                <w:b w:val="0"/>
                <w:sz w:val="21"/>
              </w:rPr>
              <w:t>0.128</w:t>
            </w:r>
          </w:p>
        </w:tc>
        <w:tc>
          <w:tcPr>
            <w:tcW w:type="dxa" w:w="5760"/>
            <w:vAlign w:val="center"/>
          </w:tcPr>
          <w:p>
            <w:pPr>
              <w:spacing w:after="0"/>
            </w:pPr>
            <w:r/>
            <w:r>
              <w:rPr>
                <w:rFonts w:ascii="Times New Roman" w:hAnsi="Times New Roman" w:eastAsia="Times New Roman"/>
                <w:b w:val="0"/>
                <w:sz w:val="21"/>
              </w:rPr>
              <w:t>Better than i; worse than iii, iv, and v</w:t>
            </w:r>
          </w:p>
        </w:tc>
      </w:tr>
      <w:tr>
        <w:tc>
          <w:tcPr>
            <w:tcW w:type="dxa" w:w="720"/>
            <w:vAlign w:val="center"/>
          </w:tcPr>
          <w:p>
            <w:pPr>
              <w:spacing w:after="0"/>
            </w:pPr>
            <w:r/>
            <w:r>
              <w:rPr>
                <w:rFonts w:ascii="Times New Roman" w:hAnsi="Times New Roman" w:eastAsia="Times New Roman"/>
                <w:b w:val="0"/>
                <w:sz w:val="21"/>
              </w:rPr>
              <w:t>5</w:t>
            </w:r>
          </w:p>
        </w:tc>
        <w:tc>
          <w:tcPr>
            <w:tcW w:type="dxa" w:w="936"/>
            <w:vAlign w:val="center"/>
          </w:tcPr>
          <w:p>
            <w:pPr>
              <w:spacing w:after="0"/>
            </w:pPr>
            <w:r/>
            <w:r>
              <w:rPr>
                <w:rFonts w:ascii="Times New Roman" w:hAnsi="Times New Roman" w:eastAsia="Times New Roman"/>
                <w:b w:val="0"/>
                <w:sz w:val="21"/>
              </w:rPr>
              <w:t>i</w:t>
            </w:r>
          </w:p>
        </w:tc>
        <w:tc>
          <w:tcPr>
            <w:tcW w:type="dxa" w:w="1296"/>
            <w:vAlign w:val="center"/>
          </w:tcPr>
          <w:p>
            <w:pPr>
              <w:spacing w:after="0"/>
            </w:pPr>
            <w:r/>
            <w:r>
              <w:rPr>
                <w:rFonts w:ascii="Times New Roman" w:hAnsi="Times New Roman" w:eastAsia="Times New Roman"/>
                <w:b w:val="0"/>
                <w:sz w:val="21"/>
              </w:rPr>
              <w:t>0.133</w:t>
            </w:r>
          </w:p>
        </w:tc>
        <w:tc>
          <w:tcPr>
            <w:tcW w:type="dxa" w:w="5760"/>
            <w:vAlign w:val="center"/>
          </w:tcPr>
          <w:p>
            <w:pPr>
              <w:spacing w:after="0"/>
            </w:pPr>
            <w:r/>
            <w:r>
              <w:rPr>
                <w:rFonts w:ascii="Times New Roman" w:hAnsi="Times New Roman" w:eastAsia="Times New Roman"/>
                <w:b w:val="0"/>
                <w:sz w:val="21"/>
              </w:rPr>
              <w:t>Highest overall error at the reference condition</w:t>
            </w:r>
          </w:p>
        </w:tc>
      </w:tr>
    </w:tbl>
    <w:p>
      <w:pPr>
        <w:spacing w:after="0"/>
      </w:pPr>
    </w:p>
    <w:p>
      <w:pPr>
        <w:spacing w:after="120"/>
      </w:pPr>
      <w:r>
        <w:rPr>
          <w:rFonts w:ascii="Times New Roman" w:hAnsi="Times New Roman" w:eastAsia="Times New Roman"/>
          <w:sz w:val="24"/>
        </w:rPr>
        <w:t>The significant method × metric interaction is evident in the metric-specific EMMs. For RMSE, method ii was best (0.0391), followed by iii (0.0425), v (0.0444), iv (0.0447), and i (0.0523). Methods iv and v did not differ (p = 0.7365), whereas all other RMSE comparisons were significant after Holm adjustment. Thus, method ii is specifically strong under squared-error loss at the reference condition, despite not being globally best across metrics.</w:t>
      </w:r>
    </w:p>
    <w:p>
      <w:pPr>
        <w:spacing w:after="120"/>
      </w:pPr>
      <w:r>
        <w:rPr>
          <w:rFonts w:ascii="Times New Roman" w:hAnsi="Times New Roman" w:eastAsia="Times New Roman"/>
          <w:sz w:val="24"/>
        </w:rPr>
        <w:t>For L1 error, method v had the lowest EMM (0.2336), followed closely by iii (0.2348); their difference was not significant (p = 0.1721). Method iv was next (0.2404), followed by i (0.2486), with method ii worst (0.2546). The remaining L1 contrasts were significant. This result reverses the favorable RMSE result for method ii and demonstrates why the interaction cannot be ignored.</w:t>
      </w:r>
    </w:p>
    <w:p>
      <w:pPr>
        <w:spacing w:after="120"/>
      </w:pPr>
      <w:r>
        <w:rPr>
          <w:rFonts w:ascii="Times New Roman" w:hAnsi="Times New Roman" w:eastAsia="Times New Roman"/>
          <w:sz w:val="24"/>
        </w:rPr>
        <w:t>For Linf error, method iii had the lowest EMM (0.0865), followed by v (0.0875), iv (0.0890), ii (0.0895), and i (0.0989). Method iii did not differ significantly from v (p = 0.4941); method v did not differ from iv (p = 0.1831) or ii (p = 0.0613); and ii did not differ from iv (p = 0.5815). Method i was significantly worse than every other method. Therefore, Linf provides a less sharply separated middle tier than RMSE or L1.</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080"/>
            <w:vAlign w:val="center"/>
            <w:shd w:fill="D9EAF7"/>
          </w:tcPr>
          <w:p>
            <w:pPr>
              <w:spacing w:after="0"/>
            </w:pPr>
            <w:r/>
            <w:r>
              <w:rPr>
                <w:rFonts w:ascii="Times New Roman" w:hAnsi="Times New Roman" w:eastAsia="Times New Roman"/>
                <w:b/>
                <w:sz w:val="21"/>
              </w:rPr>
              <w:t>Metric</w:t>
            </w:r>
          </w:p>
        </w:tc>
        <w:tc>
          <w:tcPr>
            <w:tcW w:type="dxa" w:w="1728"/>
            <w:vAlign w:val="center"/>
            <w:shd w:fill="D9EAF7"/>
          </w:tcPr>
          <w:p>
            <w:pPr>
              <w:spacing w:after="0"/>
            </w:pPr>
            <w:r/>
            <w:r>
              <w:rPr>
                <w:rFonts w:ascii="Times New Roman" w:hAnsi="Times New Roman" w:eastAsia="Times New Roman"/>
                <w:b/>
                <w:sz w:val="21"/>
              </w:rPr>
              <w:t>Best method(s)</w:t>
            </w:r>
          </w:p>
        </w:tc>
        <w:tc>
          <w:tcPr>
            <w:tcW w:type="dxa" w:w="1440"/>
            <w:vAlign w:val="center"/>
            <w:shd w:fill="D9EAF7"/>
          </w:tcPr>
          <w:p>
            <w:pPr>
              <w:spacing w:after="0"/>
            </w:pPr>
            <w:r/>
            <w:r>
              <w:rPr>
                <w:rFonts w:ascii="Times New Roman" w:hAnsi="Times New Roman" w:eastAsia="Times New Roman"/>
                <w:b/>
                <w:sz w:val="21"/>
              </w:rPr>
              <w:t>Worst method</w:t>
            </w:r>
          </w:p>
        </w:tc>
        <w:tc>
          <w:tcPr>
            <w:tcW w:type="dxa" w:w="4464"/>
            <w:vAlign w:val="center"/>
            <w:shd w:fill="D9EAF7"/>
          </w:tcPr>
          <w:p>
            <w:pPr>
              <w:spacing w:after="0"/>
            </w:pPr>
            <w:r/>
            <w:r>
              <w:rPr>
                <w:rFonts w:ascii="Times New Roman" w:hAnsi="Times New Roman" w:eastAsia="Times New Roman"/>
                <w:b/>
                <w:sz w:val="21"/>
              </w:rPr>
              <w:t>Main interpretation</w:t>
            </w:r>
          </w:p>
        </w:tc>
      </w:tr>
      <w:tr>
        <w:tc>
          <w:tcPr>
            <w:tcW w:type="dxa" w:w="1080"/>
            <w:vAlign w:val="center"/>
          </w:tcPr>
          <w:p>
            <w:pPr>
              <w:spacing w:after="0"/>
            </w:pPr>
            <w:r/>
            <w:r>
              <w:rPr>
                <w:rFonts w:ascii="Times New Roman" w:hAnsi="Times New Roman" w:eastAsia="Times New Roman"/>
                <w:b w:val="0"/>
                <w:sz w:val="21"/>
              </w:rPr>
              <w:t>RMSE</w:t>
            </w:r>
          </w:p>
        </w:tc>
        <w:tc>
          <w:tcPr>
            <w:tcW w:type="dxa" w:w="1728"/>
            <w:vAlign w:val="center"/>
          </w:tcPr>
          <w:p>
            <w:pPr>
              <w:spacing w:after="0"/>
            </w:pPr>
            <w:r/>
            <w:r>
              <w:rPr>
                <w:rFonts w:ascii="Times New Roman" w:hAnsi="Times New Roman" w:eastAsia="Times New Roman"/>
                <w:b w:val="0"/>
                <w:sz w:val="21"/>
              </w:rPr>
              <w:t>ii</w:t>
            </w:r>
          </w:p>
        </w:tc>
        <w:tc>
          <w:tcPr>
            <w:tcW w:type="dxa" w:w="1440"/>
            <w:vAlign w:val="center"/>
          </w:tcPr>
          <w:p>
            <w:pPr>
              <w:spacing w:after="0"/>
            </w:pPr>
            <w:r/>
            <w:r>
              <w:rPr>
                <w:rFonts w:ascii="Times New Roman" w:hAnsi="Times New Roman" w:eastAsia="Times New Roman"/>
                <w:b w:val="0"/>
                <w:sz w:val="21"/>
              </w:rPr>
              <w:t>i</w:t>
            </w:r>
          </w:p>
        </w:tc>
        <w:tc>
          <w:tcPr>
            <w:tcW w:type="dxa" w:w="4464"/>
            <w:vAlign w:val="center"/>
          </w:tcPr>
          <w:p>
            <w:pPr>
              <w:spacing w:after="0"/>
            </w:pPr>
            <w:r/>
            <w:r>
              <w:rPr>
                <w:rFonts w:ascii="Times New Roman" w:hAnsi="Times New Roman" w:eastAsia="Times New Roman"/>
                <w:b w:val="0"/>
                <w:sz w:val="21"/>
              </w:rPr>
              <w:t>Method ii is specialized for squared-error accuracy</w:t>
            </w:r>
          </w:p>
        </w:tc>
      </w:tr>
      <w:tr>
        <w:tc>
          <w:tcPr>
            <w:tcW w:type="dxa" w:w="1080"/>
            <w:vAlign w:val="center"/>
          </w:tcPr>
          <w:p>
            <w:pPr>
              <w:spacing w:after="0"/>
            </w:pPr>
            <w:r/>
            <w:r>
              <w:rPr>
                <w:rFonts w:ascii="Times New Roman" w:hAnsi="Times New Roman" w:eastAsia="Times New Roman"/>
                <w:b w:val="0"/>
                <w:sz w:val="21"/>
              </w:rPr>
              <w:t>L1</w:t>
            </w:r>
          </w:p>
        </w:tc>
        <w:tc>
          <w:tcPr>
            <w:tcW w:type="dxa" w:w="1728"/>
            <w:vAlign w:val="center"/>
          </w:tcPr>
          <w:p>
            <w:pPr>
              <w:spacing w:after="0"/>
            </w:pPr>
            <w:r/>
            <w:r>
              <w:rPr>
                <w:rFonts w:ascii="Times New Roman" w:hAnsi="Times New Roman" w:eastAsia="Times New Roman"/>
                <w:b w:val="0"/>
                <w:sz w:val="21"/>
              </w:rPr>
              <w:t>v and iii</w:t>
            </w:r>
          </w:p>
        </w:tc>
        <w:tc>
          <w:tcPr>
            <w:tcW w:type="dxa" w:w="1440"/>
            <w:vAlign w:val="center"/>
          </w:tcPr>
          <w:p>
            <w:pPr>
              <w:spacing w:after="0"/>
            </w:pPr>
            <w:r/>
            <w:r>
              <w:rPr>
                <w:rFonts w:ascii="Times New Roman" w:hAnsi="Times New Roman" w:eastAsia="Times New Roman"/>
                <w:b w:val="0"/>
                <w:sz w:val="21"/>
              </w:rPr>
              <w:t>ii</w:t>
            </w:r>
          </w:p>
        </w:tc>
        <w:tc>
          <w:tcPr>
            <w:tcW w:type="dxa" w:w="4464"/>
            <w:vAlign w:val="center"/>
          </w:tcPr>
          <w:p>
            <w:pPr>
              <w:spacing w:after="0"/>
            </w:pPr>
            <w:r/>
            <w:r>
              <w:rPr>
                <w:rFonts w:ascii="Times New Roman" w:hAnsi="Times New Roman" w:eastAsia="Times New Roman"/>
                <w:b w:val="0"/>
                <w:sz w:val="21"/>
              </w:rPr>
              <w:t>Methods v and iii are tied leaders; ii is weakest</w:t>
            </w:r>
          </w:p>
        </w:tc>
      </w:tr>
      <w:tr>
        <w:tc>
          <w:tcPr>
            <w:tcW w:type="dxa" w:w="1080"/>
            <w:vAlign w:val="center"/>
          </w:tcPr>
          <w:p>
            <w:pPr>
              <w:spacing w:after="0"/>
            </w:pPr>
            <w:r/>
            <w:r>
              <w:rPr>
                <w:rFonts w:ascii="Times New Roman" w:hAnsi="Times New Roman" w:eastAsia="Times New Roman"/>
                <w:b w:val="0"/>
                <w:sz w:val="21"/>
              </w:rPr>
              <w:t>Linf</w:t>
            </w:r>
          </w:p>
        </w:tc>
        <w:tc>
          <w:tcPr>
            <w:tcW w:type="dxa" w:w="1728"/>
            <w:vAlign w:val="center"/>
          </w:tcPr>
          <w:p>
            <w:pPr>
              <w:spacing w:after="0"/>
            </w:pPr>
            <w:r/>
            <w:r>
              <w:rPr>
                <w:rFonts w:ascii="Times New Roman" w:hAnsi="Times New Roman" w:eastAsia="Times New Roman"/>
                <w:b w:val="0"/>
                <w:sz w:val="21"/>
              </w:rPr>
              <w:t>iii and v</w:t>
            </w:r>
          </w:p>
        </w:tc>
        <w:tc>
          <w:tcPr>
            <w:tcW w:type="dxa" w:w="1440"/>
            <w:vAlign w:val="center"/>
          </w:tcPr>
          <w:p>
            <w:pPr>
              <w:spacing w:after="0"/>
            </w:pPr>
            <w:r/>
            <w:r>
              <w:rPr>
                <w:rFonts w:ascii="Times New Roman" w:hAnsi="Times New Roman" w:eastAsia="Times New Roman"/>
                <w:b w:val="0"/>
                <w:sz w:val="21"/>
              </w:rPr>
              <w:t>i</w:t>
            </w:r>
          </w:p>
        </w:tc>
        <w:tc>
          <w:tcPr>
            <w:tcW w:type="dxa" w:w="4464"/>
            <w:vAlign w:val="center"/>
          </w:tcPr>
          <w:p>
            <w:pPr>
              <w:spacing w:after="0"/>
            </w:pPr>
            <w:r/>
            <w:r>
              <w:rPr>
                <w:rFonts w:ascii="Times New Roman" w:hAnsi="Times New Roman" w:eastAsia="Times New Roman"/>
                <w:b w:val="0"/>
                <w:sz w:val="21"/>
              </w:rPr>
              <w:t>iii and v lead; several middle contrasts are nonsignificant</w:t>
            </w:r>
          </w:p>
        </w:tc>
      </w:tr>
    </w:tbl>
    <w:p>
      <w:pPr>
        <w:spacing w:after="0"/>
      </w:pPr>
    </w:p>
    <w:p>
      <w:pPr>
        <w:spacing w:after="120"/>
      </w:pPr>
      <w:r>
        <w:rPr>
          <w:rFonts w:ascii="Times New Roman" w:hAnsi="Times New Roman" w:eastAsia="Times New Roman"/>
          <w:sz w:val="24"/>
        </w:rPr>
        <w:t>The most defensible comparative conclusion is therefore metric-dependent. Methods iii and v are the broadest performers because they are globally tied, lead L1, and occupy the leading Linf group. Method ii is specialized: it has the best RMSE but the worst L1. Method iv is consistently competitive but is not the leading method under any metric. Method i is generally weak, especially for RMSE and Linf.</w:t>
      </w:r>
    </w:p>
    <w:p>
      <w:pPr>
        <w:spacing w:after="120"/>
      </w:pPr>
      <w:r>
        <w:rPr>
          <w:rFonts w:ascii="Times New Roman" w:hAnsi="Times New Roman" w:eastAsia="Times New Roman"/>
          <w:b/>
          <w:sz w:val="36"/>
        </w:rPr>
        <w:t>4. Hierarchical context and random simplex effect</w:t>
      </w:r>
    </w:p>
    <w:p>
      <w:pPr>
        <w:spacing w:after="120"/>
      </w:pPr>
      <w:r>
        <w:rPr>
          <w:rFonts w:ascii="Times New Roman" w:hAnsi="Times New Roman" w:eastAsia="Times New Roman"/>
          <w:sz w:val="24"/>
        </w:rPr>
        <w:t>The random intercept variance for simplex_id was 0.0005307, compared with a residual variance of 0.0070457. The corresponding intraclass correlation is approximately 0.070, calculated as 0.0005307 / (0.0005307 + 0.0070457). Thus, about 7.0% of the conditional unexplained variance is attributable to persistent differences among simplex environments, while about 93.0% remains at the cell level after accounting for the fixed effects.</w:t>
      </w:r>
    </w:p>
    <w:p>
      <w:pPr>
        <w:spacing w:after="120"/>
      </w:pPr>
      <w:r>
        <w:rPr>
          <w:rFonts w:ascii="Times New Roman" w:hAnsi="Times New Roman" w:eastAsia="Times New Roman"/>
          <w:sz w:val="24"/>
        </w:rPr>
        <w:t>This nonzero but modest clustering confirms that simplex location contributes to baseline accuracy and supports inclusion of the random intercept. At the same time, the random effect is not large enough to dominate the fixed-effect comparisons. The model was not singular and produced no optimizer messages, which supports numerical stability of the fitted mixed model. However, the 20,000 simplex groups were a reproducible sample from a much larger population, so stability beyond the sampled groups would be strengthened by sensitivity analyses using additional seeds or larger group samples.</w:t>
      </w:r>
    </w:p>
    <w:p>
      <w:pPr>
        <w:spacing w:after="120"/>
      </w:pPr>
      <w:r>
        <w:rPr>
          <w:rFonts w:ascii="Times New Roman" w:hAnsi="Times New Roman" w:eastAsia="Times New Roman"/>
          <w:b/>
          <w:sz w:val="36"/>
        </w:rPr>
        <w:t>5. Proportion-specific diagnostics and transformation context</w:t>
      </w:r>
    </w:p>
    <w:p>
      <w:pPr>
        <w:spacing w:after="120"/>
      </w:pPr>
      <w:r>
        <w:rPr>
          <w:rFonts w:ascii="Times New Roman" w:hAnsi="Times New Roman" w:eastAsia="Times New Roman"/>
          <w:sz w:val="24"/>
        </w:rPr>
        <w:t>The response transformation was log_accuracy = log1p(accuracy). This is appropriate for nonnegative scalar error metrics because it reduces right skew, limits the leverage of very large errors, and can improve variance stability. It is not an arcsine-square-root or logit transformation of the original proportions. Those transformations apply to individual proportions, whereas the present model analyzes distances or norms calculated from estimated composition vectors.</w:t>
      </w:r>
    </w:p>
    <w:p>
      <w:pPr>
        <w:spacing w:after="120"/>
      </w:pPr>
      <w:r>
        <w:rPr>
          <w:rFonts w:ascii="Times New Roman" w:hAnsi="Times New Roman" w:eastAsia="Times New Roman"/>
          <w:sz w:val="24"/>
        </w:rPr>
        <w:t>The bounded and compositional nature of the underlying proportions can still produce heteroscedasticity. Estimation errors may be asymmetric and more variable when true components approach zero or one, and the sum-to-one constraint induces dependence among component errors. The random simplex intercept captures persistent mean shifts among simplex locations, but it does not directly allow residual variance to differ by metric, method, or proximity to a simplex boundary. The scaled-residual maximum of 16.70 suggests some large positive residuals remain after transformation. Residual-versus-fitted plots stratified by method and metric, influence diagnostics, and checks of residual spread against minimum component size would therefore be useful. If strong variance differences remain, metric-specific residual variances, a variance-function model, or robust inference should be considered. For direct multivariate modeling of composition residuals, log-ratio coordinates such as ILR would generally be more principled than component-wise arcsine transformations.</w:t>
      </w:r>
    </w:p>
    <w:p>
      <w:pPr>
        <w:spacing w:after="120"/>
      </w:pPr>
      <w:r>
        <w:rPr>
          <w:rFonts w:ascii="Times New Roman" w:hAnsi="Times New Roman" w:eastAsia="Times New Roman"/>
          <w:b/>
          <w:sz w:val="36"/>
        </w:rPr>
        <w:t>6. Overall statistical conclusion</w:t>
      </w:r>
    </w:p>
    <w:p>
      <w:pPr>
        <w:spacing w:after="120"/>
      </w:pPr>
      <w:r>
        <w:rPr>
          <w:rFonts w:ascii="Times New Roman" w:hAnsi="Times New Roman" w:eastAsia="Times New Roman"/>
          <w:sz w:val="24"/>
        </w:rPr>
        <w:t>The mixed-effects analysis provides strong evidence that estimation accuracy depends on method, error metric, experimental conditions, and several method-by-condition interactions. Metric generated the largest fixed-effect F statistic, reflecting the distinct scales of RMSE, L1, and Linf. Among experimental factors, G and sigma were the dominant influences, followed by mean_nsamp, design_block, theta_true, and theta_CV. The least influential factors were p1 and p2, which were nonsignificant both as main effects and in interactions with method.</w:t>
      </w:r>
    </w:p>
    <w:p>
      <w:pPr>
        <w:spacing w:after="120"/>
      </w:pPr>
      <w:r>
        <w:rPr>
          <w:rFonts w:ascii="Times New Roman" w:hAnsi="Times New Roman" w:eastAsia="Times New Roman"/>
          <w:sz w:val="24"/>
        </w:rPr>
        <w:t>The significant method × metric interaction means that no method can be declared uniformly best without specifying the error criterion. At the reported reference condition, method ii was best for RMSE but worst for L1. Methods iii and v were statistically tied in the global EMM comparison and formed the leading group for L1 and Linf. Method iv was a close but consistently secondary competitor. Method i had the highest global EMM and was worst for RMSE and Linf.</w:t>
      </w:r>
    </w:p>
    <w:p>
      <w:pPr>
        <w:spacing w:after="120"/>
      </w:pPr>
      <w:r>
        <w:rPr>
          <w:rFonts w:ascii="Times New Roman" w:hAnsi="Times New Roman" w:eastAsia="Times New Roman"/>
          <w:sz w:val="24"/>
        </w:rPr>
        <w:t>Accordingly, methods iii and v are the strongest general-purpose choices within the reported reference condition, whereas method ii is a specialized squared-error performer. The output does not include factor-specific EMMs across every level of G, sigma, sample size, and the other design factors. Because method × sigma, method × G, and method × mean_nsamp were significant, the available results do not establish that any ranking is invariant across all factor levels. A formal robustness claim would require EMMs or predicted contrasts for method within each influential factor level, preferably accompanied by plots of the interactions.</w:t>
      </w:r>
    </w:p>
    <w:p>
      <w:pPr>
        <w:spacing w:after="120"/>
      </w:pPr>
      <w:r>
        <w:rPr>
          <w:rFonts w:ascii="Times New Roman" w:hAnsi="Times New Roman" w:eastAsia="Times New Roman"/>
          <w:sz w:val="24"/>
        </w:rPr>
        <w:t>The random simplex effect accounted for approximately 7% of the remaining conditional variance, indicating modest but meaningful environmental clustering. Overall, the method rankings are sufficiently stable to identify iii and v as broad leaders at the reference condition, but the significant interactions show that method selection should also consider the intended error metric and the expected noise, group-number, and sample-size regime.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