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Formal Statistical Memorandum: Code C1-C2</w:t>
      </w:r>
    </w:p>
    <w:p>
      <w:pPr>
        <w:jc w:val="center"/>
      </w:pPr>
      <w:r>
        <w:rPr>
          <w:b/>
        </w:rPr>
        <w:t>Subject: Comparative performance and factorial sensitivity of five compositional likelihood estimators</w:t>
      </w:r>
    </w:p>
    <w:p>
      <w:r>
        <w:rPr>
          <w:b/>
        </w:rPr>
        <w:t xml:space="preserve">Analytical scope. </w:t>
      </w:r>
      <w:r>
        <w:t>Code C1 uses paired one-sample Hotelling’s T² tests, reported through Pillai’s trace, to test whether the mean three-metric log-error difference vector equals zero for each method pair. Code C2 models each pairwise log-error difference as a function of the simulation factors design_block, G, theta_true, theta_CV, sigma, mean_nsamp, p1, and p2. Each pairwise analysis contains 48,114 complete paired rows. Negative target-minus-reference log differences indicate lower error for the target method.</w:t>
      </w:r>
    </w:p>
    <w:p>
      <w:pPr>
        <w:pStyle w:val="Heading1"/>
      </w:pPr>
      <w:r>
        <w:t>1. Executive Summary of Methodological Hierarchy</w:t>
      </w:r>
    </w:p>
    <w:p>
      <w:pPr>
        <w:spacing w:after="100"/>
      </w:pPr>
      <w:r>
        <w:t>The pairwise multivariate tests provide overwhelming evidence that every method pair has a nonzero joint difference across RMSE, L1, and Linf. The practical hierarchy is:</w:t>
      </w:r>
    </w:p>
    <w:p>
      <w:pPr>
        <w:jc w:val="center"/>
      </w:pPr>
      <w:r>
        <w:rPr>
          <w:b/>
          <w:sz w:val="26"/>
        </w:rPr>
        <w:t>v &gt; iii &gt; iv &gt; i &gt;&gt; ii</w:t>
      </w:r>
    </w:p>
    <w:p>
      <w:pPr>
        <w:spacing w:after="100"/>
      </w:pPr>
      <w:r>
        <w:t>Method v is the formal leader because it has lower mean error than every comparator for all three metrics. Method iii is a close second: method v reduces error relative to method iii by only 0.56% for RMSE, 0.61% for L1, and 0.39% for Linf. Although the v-versus-iii multivariate test is decisive statistically (Pillai = 0.02924; approximate F = 483.07; p = 2.71 × 10⁻³⁰⁹), the practical difference is small.</w:t>
      </w:r>
    </w:p>
    <w:p>
      <w:pPr>
        <w:spacing w:after="100"/>
      </w:pPr>
      <w:r>
        <w:t>Method ii is clearly inferior. Relative to method ii, method v reduces error by 15.88% for RMSE, 15.55% for L1, and 16.13% for Linf; method iii reduces error by 15.41%, 15.03%, and 15.81%, respectively. Method i itself has approximately 14% lower error than method ii. These contrasts are both statistically overwhelming and practically important.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shd w:fill="D9EAF7"/>
            <w:vAlign w:val="center"/>
          </w:tcPr>
          <w:p>
            <w:r>
              <w:rPr>
                <w:b/>
                <w:sz w:val="18"/>
              </w:rPr>
              <w:t>Rank</w:t>
            </w:r>
          </w:p>
        </w:tc>
        <w:tc>
          <w:tcPr>
            <w:tcW w:type="dxa" w:w="864"/>
            <w:shd w:fill="D9EAF7"/>
            <w:vAlign w:val="center"/>
          </w:tcPr>
          <w:p>
            <w:r>
              <w:rPr>
                <w:b/>
                <w:sz w:val="18"/>
              </w:rPr>
              <w:t>Method</w:t>
            </w:r>
          </w:p>
        </w:tc>
        <w:tc>
          <w:tcPr>
            <w:tcW w:type="dxa" w:w="2880"/>
            <w:shd w:fill="D9EAF7"/>
            <w:vAlign w:val="center"/>
          </w:tcPr>
          <w:p>
            <w:r>
              <w:rPr>
                <w:b/>
                <w:sz w:val="18"/>
              </w:rPr>
              <w:t>Multivariate evidence</w:t>
            </w:r>
          </w:p>
        </w:tc>
        <w:tc>
          <w:tcPr>
            <w:tcW w:type="dxa" w:w="4896"/>
            <w:shd w:fill="D9EAF7"/>
            <w:vAlign w:val="center"/>
          </w:tcPr>
          <w:p>
            <w:r>
              <w:rPr>
                <w:b/>
                <w:sz w:val="18"/>
              </w:rPr>
              <w:t>Practical interpretation</w:t>
            </w:r>
          </w:p>
        </w:tc>
      </w:tr>
      <w:tr>
        <w:tc>
          <w:tcPr>
            <w:tcW w:type="dxa" w:w="720"/>
            <w:vAlign w:val="center"/>
          </w:tcPr>
          <w:p>
            <w:r>
              <w:rPr>
                <w:sz w:val="18"/>
              </w:rPr>
              <w:t>1</w:t>
            </w:r>
          </w:p>
        </w:tc>
        <w:tc>
          <w:tcPr>
            <w:tcW w:type="dxa" w:w="864"/>
            <w:vAlign w:val="center"/>
          </w:tcPr>
          <w:p>
            <w:r>
              <w:rPr>
                <w:sz w:val="18"/>
              </w:rPr>
              <w:t>v</w:t>
            </w:r>
          </w:p>
        </w:tc>
        <w:tc>
          <w:tcPr>
            <w:tcW w:type="dxa" w:w="2880"/>
            <w:vAlign w:val="center"/>
          </w:tcPr>
          <w:p>
            <w:r>
              <w:rPr>
                <w:sz w:val="18"/>
              </w:rPr>
              <w:t>Best mean error for RMSE, L1, and Linf</w:t>
            </w:r>
          </w:p>
        </w:tc>
        <w:tc>
          <w:tcPr>
            <w:tcW w:type="dxa" w:w="4896"/>
            <w:vAlign w:val="center"/>
          </w:tcPr>
          <w:p>
            <w:r>
              <w:rPr>
                <w:sz w:val="18"/>
              </w:rPr>
              <w:t>Preferred general-purpose estimator</w:t>
            </w:r>
          </w:p>
        </w:tc>
      </w:tr>
      <w:tr>
        <w:tc>
          <w:tcPr>
            <w:tcW w:type="dxa" w:w="720"/>
            <w:vAlign w:val="center"/>
          </w:tcPr>
          <w:p>
            <w:r>
              <w:rPr>
                <w:sz w:val="18"/>
              </w:rPr>
              <w:t>2</w:t>
            </w:r>
          </w:p>
        </w:tc>
        <w:tc>
          <w:tcPr>
            <w:tcW w:type="dxa" w:w="864"/>
            <w:vAlign w:val="center"/>
          </w:tcPr>
          <w:p>
            <w:r>
              <w:rPr>
                <w:sz w:val="18"/>
              </w:rPr>
              <w:t>iii</w:t>
            </w:r>
          </w:p>
        </w:tc>
        <w:tc>
          <w:tcPr>
            <w:tcW w:type="dxa" w:w="2880"/>
            <w:vAlign w:val="center"/>
          </w:tcPr>
          <w:p>
            <w:r>
              <w:rPr>
                <w:sz w:val="18"/>
              </w:rPr>
              <w:t>Only 0.39%–0.61% worse than v</w:t>
            </w:r>
          </w:p>
        </w:tc>
        <w:tc>
          <w:tcPr>
            <w:tcW w:type="dxa" w:w="4896"/>
            <w:vAlign w:val="center"/>
          </w:tcPr>
          <w:p>
            <w:r>
              <w:rPr>
                <w:sz w:val="18"/>
              </w:rPr>
              <w:t>Near-equivalent robust alternative</w:t>
            </w:r>
          </w:p>
        </w:tc>
      </w:tr>
      <w:tr>
        <w:tc>
          <w:tcPr>
            <w:tcW w:type="dxa" w:w="720"/>
            <w:vAlign w:val="center"/>
          </w:tcPr>
          <w:p>
            <w:r>
              <w:rPr>
                <w:sz w:val="18"/>
              </w:rPr>
              <w:t>3</w:t>
            </w:r>
          </w:p>
        </w:tc>
        <w:tc>
          <w:tcPr>
            <w:tcW w:type="dxa" w:w="864"/>
            <w:vAlign w:val="center"/>
          </w:tcPr>
          <w:p>
            <w:r>
              <w:rPr>
                <w:sz w:val="18"/>
              </w:rPr>
              <w:t>iv</w:t>
            </w:r>
          </w:p>
        </w:tc>
        <w:tc>
          <w:tcPr>
            <w:tcW w:type="dxa" w:w="2880"/>
            <w:vAlign w:val="center"/>
          </w:tcPr>
          <w:p>
            <w:r>
              <w:rPr>
                <w:sz w:val="18"/>
              </w:rPr>
              <w:t>1.96%–2.51% worse than iii</w:t>
            </w:r>
          </w:p>
        </w:tc>
        <w:tc>
          <w:tcPr>
            <w:tcW w:type="dxa" w:w="4896"/>
            <w:vAlign w:val="center"/>
          </w:tcPr>
          <w:p>
            <w:r>
              <w:rPr>
                <w:sz w:val="18"/>
              </w:rPr>
              <w:t>Competitive but consistently dominated by iii and v</w:t>
            </w:r>
          </w:p>
        </w:tc>
      </w:tr>
      <w:tr>
        <w:tc>
          <w:tcPr>
            <w:tcW w:type="dxa" w:w="720"/>
            <w:vAlign w:val="center"/>
          </w:tcPr>
          <w:p>
            <w:r>
              <w:rPr>
                <w:sz w:val="18"/>
              </w:rPr>
              <w:t>4</w:t>
            </w:r>
          </w:p>
        </w:tc>
        <w:tc>
          <w:tcPr>
            <w:tcW w:type="dxa" w:w="864"/>
            <w:vAlign w:val="center"/>
          </w:tcPr>
          <w:p>
            <w:r>
              <w:rPr>
                <w:sz w:val="18"/>
              </w:rPr>
              <w:t>i</w:t>
            </w:r>
          </w:p>
        </w:tc>
        <w:tc>
          <w:tcPr>
            <w:tcW w:type="dxa" w:w="2880"/>
            <w:vAlign w:val="center"/>
          </w:tcPr>
          <w:p>
            <w:r>
              <w:rPr>
                <w:sz w:val="18"/>
              </w:rPr>
              <w:t>3.21%–3.92% worse than iii; about 14% better than ii</w:t>
            </w:r>
          </w:p>
        </w:tc>
        <w:tc>
          <w:tcPr>
            <w:tcW w:type="dxa" w:w="4896"/>
            <w:vAlign w:val="center"/>
          </w:tcPr>
          <w:p>
            <w:r>
              <w:rPr>
                <w:sz w:val="18"/>
              </w:rPr>
              <w:t>Intermediate baseline</w:t>
            </w:r>
          </w:p>
        </w:tc>
      </w:tr>
      <w:tr>
        <w:tc>
          <w:tcPr>
            <w:tcW w:type="dxa" w:w="720"/>
            <w:vAlign w:val="center"/>
          </w:tcPr>
          <w:p>
            <w:r>
              <w:rPr>
                <w:sz w:val="18"/>
              </w:rPr>
              <w:t>5</w:t>
            </w:r>
          </w:p>
        </w:tc>
        <w:tc>
          <w:tcPr>
            <w:tcW w:type="dxa" w:w="864"/>
            <w:vAlign w:val="center"/>
          </w:tcPr>
          <w:p>
            <w:r>
              <w:rPr>
                <w:sz w:val="18"/>
              </w:rPr>
              <w:t>ii</w:t>
            </w:r>
          </w:p>
        </w:tc>
        <w:tc>
          <w:tcPr>
            <w:tcW w:type="dxa" w:w="2880"/>
            <w:vAlign w:val="center"/>
          </w:tcPr>
          <w:p>
            <w:r>
              <w:rPr>
                <w:sz w:val="18"/>
              </w:rPr>
              <w:t>13%–16% worse than methods iii–v</w:t>
            </w:r>
          </w:p>
        </w:tc>
        <w:tc>
          <w:tcPr>
            <w:tcW w:type="dxa" w:w="4896"/>
            <w:vAlign w:val="center"/>
          </w:tcPr>
          <w:p>
            <w:r>
              <w:rPr>
                <w:sz w:val="18"/>
              </w:rPr>
              <w:t>Not recommended for general use</w:t>
            </w:r>
          </w:p>
        </w:tc>
      </w:tr>
    </w:tbl>
    <w:p>
      <w:pPr>
        <w:spacing w:after="20"/>
      </w:pPr>
    </w:p>
    <w:p>
      <w:pPr>
        <w:spacing w:after="100"/>
      </w:pPr>
      <w:r>
        <w:t>No comparison is merely marginal in a hypothesis-testing sense: all C1 pairwise Pillai tests are highly significant. The meaningful distinction is therefore between large practical separations, especially those involving method ii, and small but precisely estimated separations, especially v versus iii.</w:t>
      </w:r>
    </w:p>
    <w:p>
      <w:pPr>
        <w:pStyle w:val="Heading1"/>
      </w:pPr>
      <w:r>
        <w:t>2. Factorial Sensitivity and Robustness Analysis</w:t>
      </w:r>
    </w:p>
    <w:p>
      <w:pPr>
        <w:spacing w:after="100"/>
      </w:pPr>
      <w:r>
        <w:t>Across the ten pairwise factorial MANOVAs, sigma is the dominant driver of variation in relative estimator performance. Its average Pillai trace is approximately 0.175, substantially larger than all other factors. The next strongest factors are mean_nsamp and G, with average Pillai traces near 0.053 and 0.050, followed by theta_true near 0.035. Design_block and p2 have smaller but nontrivial average effects, while p1 and theta_CV are generally weakest.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shd w:fill="D9EAF7"/>
            <w:vAlign w:val="center"/>
          </w:tcPr>
          <w:p>
            <w:r>
              <w:rPr>
                <w:b/>
                <w:sz w:val="18"/>
              </w:rPr>
              <w:t>Rank</w:t>
            </w:r>
          </w:p>
        </w:tc>
        <w:tc>
          <w:tcPr>
            <w:tcW w:type="dxa" w:w="1728"/>
            <w:shd w:fill="D9EAF7"/>
            <w:vAlign w:val="center"/>
          </w:tcPr>
          <w:p>
            <w:r>
              <w:rPr>
                <w:b/>
                <w:sz w:val="18"/>
              </w:rPr>
              <w:t>Factor</w:t>
            </w:r>
          </w:p>
        </w:tc>
        <w:tc>
          <w:tcPr>
            <w:tcW w:type="dxa" w:w="1872"/>
            <w:shd w:fill="D9EAF7"/>
            <w:vAlign w:val="center"/>
          </w:tcPr>
          <w:p>
            <w:r>
              <w:rPr>
                <w:b/>
                <w:sz w:val="18"/>
              </w:rPr>
              <w:t>Mean Pillai across pairs</w:t>
            </w:r>
          </w:p>
        </w:tc>
        <w:tc>
          <w:tcPr>
            <w:tcW w:type="dxa" w:w="5184"/>
            <w:shd w:fill="D9EAF7"/>
            <w:vAlign w:val="center"/>
          </w:tcPr>
          <w:p>
            <w:r>
              <w:rPr>
                <w:b/>
                <w:sz w:val="18"/>
              </w:rPr>
              <w:t>Interpretation</w:t>
            </w:r>
          </w:p>
        </w:tc>
      </w:tr>
      <w:tr>
        <w:tc>
          <w:tcPr>
            <w:tcW w:type="dxa" w:w="720"/>
            <w:vAlign w:val="center"/>
          </w:tcPr>
          <w:p>
            <w:r>
              <w:rPr>
                <w:sz w:val="18"/>
              </w:rPr>
              <w:t>1</w:t>
            </w:r>
          </w:p>
        </w:tc>
        <w:tc>
          <w:tcPr>
            <w:tcW w:type="dxa" w:w="1728"/>
            <w:vAlign w:val="center"/>
          </w:tcPr>
          <w:p>
            <w:r>
              <w:rPr>
                <w:sz w:val="18"/>
              </w:rPr>
              <w:t>sigma</w:t>
            </w:r>
          </w:p>
        </w:tc>
        <w:tc>
          <w:tcPr>
            <w:tcW w:type="dxa" w:w="1872"/>
            <w:vAlign w:val="center"/>
          </w:tcPr>
          <w:p>
            <w:r>
              <w:rPr>
                <w:sz w:val="18"/>
              </w:rPr>
              <w:t>0.175</w:t>
            </w:r>
          </w:p>
        </w:tc>
        <w:tc>
          <w:tcPr>
            <w:tcW w:type="dxa" w:w="5184"/>
            <w:vAlign w:val="center"/>
          </w:tcPr>
          <w:p>
            <w:r>
              <w:rPr>
                <w:sz w:val="18"/>
              </w:rPr>
              <w:t>Primary source of relative estimator instability</w:t>
            </w:r>
          </w:p>
        </w:tc>
      </w:tr>
      <w:tr>
        <w:tc>
          <w:tcPr>
            <w:tcW w:type="dxa" w:w="720"/>
            <w:vAlign w:val="center"/>
          </w:tcPr>
          <w:p>
            <w:r>
              <w:rPr>
                <w:sz w:val="18"/>
              </w:rPr>
              <w:t>2</w:t>
            </w:r>
          </w:p>
        </w:tc>
        <w:tc>
          <w:tcPr>
            <w:tcW w:type="dxa" w:w="1728"/>
            <w:vAlign w:val="center"/>
          </w:tcPr>
          <w:p>
            <w:r>
              <w:rPr>
                <w:sz w:val="18"/>
              </w:rPr>
              <w:t>mean_nsamp</w:t>
            </w:r>
          </w:p>
        </w:tc>
        <w:tc>
          <w:tcPr>
            <w:tcW w:type="dxa" w:w="1872"/>
            <w:vAlign w:val="center"/>
          </w:tcPr>
          <w:p>
            <w:r>
              <w:rPr>
                <w:sz w:val="18"/>
              </w:rPr>
              <w:t>0.053</w:t>
            </w:r>
          </w:p>
        </w:tc>
        <w:tc>
          <w:tcPr>
            <w:tcW w:type="dxa" w:w="5184"/>
            <w:vAlign w:val="center"/>
          </w:tcPr>
          <w:p>
            <w:r>
              <w:rPr>
                <w:sz w:val="18"/>
              </w:rPr>
              <w:t>Strong influence on performance gaps, especially contrasts involving ii and iv</w:t>
            </w:r>
          </w:p>
        </w:tc>
      </w:tr>
      <w:tr>
        <w:tc>
          <w:tcPr>
            <w:tcW w:type="dxa" w:w="720"/>
            <w:vAlign w:val="center"/>
          </w:tcPr>
          <w:p>
            <w:r>
              <w:rPr>
                <w:sz w:val="18"/>
              </w:rPr>
              <w:t>3</w:t>
            </w:r>
          </w:p>
        </w:tc>
        <w:tc>
          <w:tcPr>
            <w:tcW w:type="dxa" w:w="1728"/>
            <w:vAlign w:val="center"/>
          </w:tcPr>
          <w:p>
            <w:r>
              <w:rPr>
                <w:sz w:val="18"/>
              </w:rPr>
              <w:t>G</w:t>
            </w:r>
          </w:p>
        </w:tc>
        <w:tc>
          <w:tcPr>
            <w:tcW w:type="dxa" w:w="1872"/>
            <w:vAlign w:val="center"/>
          </w:tcPr>
          <w:p>
            <w:r>
              <w:rPr>
                <w:sz w:val="18"/>
              </w:rPr>
              <w:t>0.050</w:t>
            </w:r>
          </w:p>
        </w:tc>
        <w:tc>
          <w:tcPr>
            <w:tcW w:type="dxa" w:w="5184"/>
            <w:vAlign w:val="center"/>
          </w:tcPr>
          <w:p>
            <w:r>
              <w:rPr>
                <w:sz w:val="18"/>
              </w:rPr>
              <w:t>Strong effect of group-number structure</w:t>
            </w:r>
          </w:p>
        </w:tc>
      </w:tr>
      <w:tr>
        <w:tc>
          <w:tcPr>
            <w:tcW w:type="dxa" w:w="720"/>
            <w:vAlign w:val="center"/>
          </w:tcPr>
          <w:p>
            <w:r>
              <w:rPr>
                <w:sz w:val="18"/>
              </w:rPr>
              <w:t>4</w:t>
            </w:r>
          </w:p>
        </w:tc>
        <w:tc>
          <w:tcPr>
            <w:tcW w:type="dxa" w:w="1728"/>
            <w:vAlign w:val="center"/>
          </w:tcPr>
          <w:p>
            <w:r>
              <w:rPr>
                <w:sz w:val="18"/>
              </w:rPr>
              <w:t>theta_true</w:t>
            </w:r>
          </w:p>
        </w:tc>
        <w:tc>
          <w:tcPr>
            <w:tcW w:type="dxa" w:w="1872"/>
            <w:vAlign w:val="center"/>
          </w:tcPr>
          <w:p>
            <w:r>
              <w:rPr>
                <w:sz w:val="18"/>
              </w:rPr>
              <w:t>0.035</w:t>
            </w:r>
          </w:p>
        </w:tc>
        <w:tc>
          <w:tcPr>
            <w:tcW w:type="dxa" w:w="5184"/>
            <w:vAlign w:val="center"/>
          </w:tcPr>
          <w:p>
            <w:r>
              <w:rPr>
                <w:sz w:val="18"/>
              </w:rPr>
              <w:t>Moderate composition-concentration effect</w:t>
            </w:r>
          </w:p>
        </w:tc>
      </w:tr>
      <w:tr>
        <w:tc>
          <w:tcPr>
            <w:tcW w:type="dxa" w:w="720"/>
            <w:vAlign w:val="center"/>
          </w:tcPr>
          <w:p>
            <w:r>
              <w:rPr>
                <w:sz w:val="18"/>
              </w:rPr>
              <w:t>5</w:t>
            </w:r>
          </w:p>
        </w:tc>
        <w:tc>
          <w:tcPr>
            <w:tcW w:type="dxa" w:w="1728"/>
            <w:vAlign w:val="center"/>
          </w:tcPr>
          <w:p>
            <w:r>
              <w:rPr>
                <w:sz w:val="18"/>
              </w:rPr>
              <w:t>p2</w:t>
            </w:r>
          </w:p>
        </w:tc>
        <w:tc>
          <w:tcPr>
            <w:tcW w:type="dxa" w:w="1872"/>
            <w:vAlign w:val="center"/>
          </w:tcPr>
          <w:p>
            <w:r>
              <w:rPr>
                <w:sz w:val="18"/>
              </w:rPr>
              <w:t>0.023</w:t>
            </w:r>
          </w:p>
        </w:tc>
        <w:tc>
          <w:tcPr>
            <w:tcW w:type="dxa" w:w="5184"/>
            <w:vAlign w:val="center"/>
          </w:tcPr>
          <w:p>
            <w:r>
              <w:rPr>
                <w:sz w:val="18"/>
              </w:rPr>
              <w:t>Localized simplex-position influence</w:t>
            </w:r>
          </w:p>
        </w:tc>
      </w:tr>
      <w:tr>
        <w:tc>
          <w:tcPr>
            <w:tcW w:type="dxa" w:w="720"/>
            <w:vAlign w:val="center"/>
          </w:tcPr>
          <w:p>
            <w:r>
              <w:rPr>
                <w:sz w:val="18"/>
              </w:rPr>
              <w:t>6</w:t>
            </w:r>
          </w:p>
        </w:tc>
        <w:tc>
          <w:tcPr>
            <w:tcW w:type="dxa" w:w="1728"/>
            <w:vAlign w:val="center"/>
          </w:tcPr>
          <w:p>
            <w:r>
              <w:rPr>
                <w:sz w:val="18"/>
              </w:rPr>
              <w:t>design_block</w:t>
            </w:r>
          </w:p>
        </w:tc>
        <w:tc>
          <w:tcPr>
            <w:tcW w:type="dxa" w:w="1872"/>
            <w:vAlign w:val="center"/>
          </w:tcPr>
          <w:p>
            <w:r>
              <w:rPr>
                <w:sz w:val="18"/>
              </w:rPr>
              <w:t>0.022</w:t>
            </w:r>
          </w:p>
        </w:tc>
        <w:tc>
          <w:tcPr>
            <w:tcW w:type="dxa" w:w="5184"/>
            <w:vAlign w:val="center"/>
          </w:tcPr>
          <w:p>
            <w:r>
              <w:rPr>
                <w:sz w:val="18"/>
              </w:rPr>
              <w:t>Moderate sampling-distribution effect</w:t>
            </w:r>
          </w:p>
        </w:tc>
      </w:tr>
      <w:tr>
        <w:tc>
          <w:tcPr>
            <w:tcW w:type="dxa" w:w="720"/>
            <w:vAlign w:val="center"/>
          </w:tcPr>
          <w:p>
            <w:r>
              <w:rPr>
                <w:sz w:val="18"/>
              </w:rPr>
              <w:t>7</w:t>
            </w:r>
          </w:p>
        </w:tc>
        <w:tc>
          <w:tcPr>
            <w:tcW w:type="dxa" w:w="1728"/>
            <w:vAlign w:val="center"/>
          </w:tcPr>
          <w:p>
            <w:r>
              <w:rPr>
                <w:sz w:val="18"/>
              </w:rPr>
              <w:t>p1</w:t>
            </w:r>
          </w:p>
        </w:tc>
        <w:tc>
          <w:tcPr>
            <w:tcW w:type="dxa" w:w="1872"/>
            <w:vAlign w:val="center"/>
          </w:tcPr>
          <w:p>
            <w:r>
              <w:rPr>
                <w:sz w:val="18"/>
              </w:rPr>
              <w:t>0.008</w:t>
            </w:r>
          </w:p>
        </w:tc>
        <w:tc>
          <w:tcPr>
            <w:tcW w:type="dxa" w:w="5184"/>
            <w:vAlign w:val="center"/>
          </w:tcPr>
          <w:p>
            <w:r>
              <w:rPr>
                <w:sz w:val="18"/>
              </w:rPr>
              <w:t>Generally weak simplex-position effect</w:t>
            </w:r>
          </w:p>
        </w:tc>
      </w:tr>
      <w:tr>
        <w:tc>
          <w:tcPr>
            <w:tcW w:type="dxa" w:w="720"/>
            <w:vAlign w:val="center"/>
          </w:tcPr>
          <w:p>
            <w:r>
              <w:rPr>
                <w:sz w:val="18"/>
              </w:rPr>
              <w:t>8</w:t>
            </w:r>
          </w:p>
        </w:tc>
        <w:tc>
          <w:tcPr>
            <w:tcW w:type="dxa" w:w="1728"/>
            <w:vAlign w:val="center"/>
          </w:tcPr>
          <w:p>
            <w:r>
              <w:rPr>
                <w:sz w:val="18"/>
              </w:rPr>
              <w:t>theta_CV</w:t>
            </w:r>
          </w:p>
        </w:tc>
        <w:tc>
          <w:tcPr>
            <w:tcW w:type="dxa" w:w="1872"/>
            <w:vAlign w:val="center"/>
          </w:tcPr>
          <w:p>
            <w:r>
              <w:rPr>
                <w:sz w:val="18"/>
              </w:rPr>
              <w:t>0.001</w:t>
            </w:r>
          </w:p>
        </w:tc>
        <w:tc>
          <w:tcPr>
            <w:tcW w:type="dxa" w:w="5184"/>
            <w:vAlign w:val="center"/>
          </w:tcPr>
          <w:p>
            <w:r>
              <w:rPr>
                <w:sz w:val="18"/>
              </w:rPr>
              <w:t>Usually negligible; occasionally nonsignificant</w:t>
            </w:r>
          </w:p>
        </w:tc>
      </w:tr>
    </w:tbl>
    <w:p>
      <w:pPr>
        <w:spacing w:after="20"/>
      </w:pPr>
    </w:p>
    <w:p>
      <w:pPr>
        <w:spacing w:after="100"/>
      </w:pPr>
      <w:r>
        <w:t>The influence ranking is contrast-dependent. For comparisons of methods iii, iv, and v against method i, sigma has the largest Pillai trace, often between 0.13 and 0.29. For contrasts involving method ii, mean_nsamp and p2 become relatively more important. For example, in iii versus ii and iv versus ii, mean_nsamp has Pillai values of 0.047 and 0.087, and p2 has Pillai values of 0.030 and 0.028. Thus, the poor performance of method ii is not constant in magnitude; its deficit varies appreciably with sample size and simplex location.</w:t>
      </w:r>
    </w:p>
    <w:p>
      <w:pPr>
        <w:spacing w:after="100"/>
      </w:pPr>
      <w:r>
        <w:t>Among the leading methods, the v-versus-iii gap is especially sensitive to sigma (Pillai = 0.267), followed by p2 (0.058), G (0.047), mean_nsamp (0.036), p1 and design_block (both about 0.020), and theta_true (0.014). The v-versus-iv gap is even more sigma-sensitive (Pillai = 0.331). These findings show that the small average advantage of method v is not uniform across the design, even though its mean advantage remains positive overall.</w:t>
      </w:r>
    </w:p>
    <w:p>
      <w:pPr>
        <w:spacing w:after="100"/>
      </w:pPr>
      <w:r>
        <w:t>Important limitation. The C2 models contain additive main effects only; they do not include interaction terms among the simulation factors, nor do they report factor-level estimated contrasts. Consequently, the output establishes that performance gaps vary with design factors, but it does not identify the direction of change at each factor level and cannot demonstrate a niche crossover where an inferior method becomes superior. Such reversals require stratified contrasts or models containing pair-by-factor interactions with estimated marginal means by level.</w:t>
      </w:r>
    </w:p>
    <w:p>
      <w:pPr>
        <w:pStyle w:val="Heading1"/>
      </w:pPr>
      <w:r>
        <w:t>3. Multivariate versus Univariate Divergence</w:t>
      </w:r>
    </w:p>
    <w:p>
      <w:pPr>
        <w:spacing w:after="100"/>
      </w:pPr>
      <w:r>
        <w:t>The multivariate and univariate results are highly concordant. Sigma is the dominant factor for most pairwise contrasts and for each metric separately. For example, in v versus iii, sigma produces univariate F statistics of 5,196 for RMSE, 5,869 for L1, and 2,991 for Linf. In v versus iv, the corresponding values are 7,925, 9,731, and 3,792. This consistency indicates that the multivariate significance is not driven by only one error definition.</w:t>
      </w:r>
    </w:p>
    <w:p>
      <w:pPr>
        <w:spacing w:after="100"/>
      </w:pPr>
      <w:r>
        <w:t>The C1 mean log differences also show a stable method ordering across RMSE, L1, and Linf. Method v is better than method i by 3.92%, 3.80%, and 4.29%, respectively. Method iii is better than method i by 3.38%, 3.21%, and 3.92%. Method iv is better than method i by 1.26%, 0.78%, and 2.04%. The larger Linf improvement for methods iii, iv, and v indicates that their advantages are at least as strong for worst-component error as for average error.</w:t>
      </w:r>
    </w:p>
    <w:p>
      <w:pPr>
        <w:spacing w:after="100"/>
      </w:pPr>
      <w:r>
        <w:t>There is therefore no evidence that a nominal leader performs acceptably for RMSE but fails under Linf. Method ii is poor across all metrics rather than uniquely susceptible to worst-case error. Method iv shows its largest relative gain over method i for Linf, but it remains consistently worse than methods iii and v. The ranking is not an artifact of a single metric.</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584"/>
            <w:shd w:fill="D9EAF7"/>
            <w:vAlign w:val="center"/>
          </w:tcPr>
          <w:p>
            <w:r>
              <w:rPr>
                <w:b/>
                <w:sz w:val="18"/>
              </w:rPr>
              <w:t>Contrast</w:t>
            </w:r>
          </w:p>
        </w:tc>
        <w:tc>
          <w:tcPr>
            <w:tcW w:type="dxa" w:w="1296"/>
            <w:shd w:fill="D9EAF7"/>
            <w:vAlign w:val="center"/>
          </w:tcPr>
          <w:p>
            <w:r>
              <w:rPr>
                <w:b/>
                <w:sz w:val="18"/>
              </w:rPr>
              <w:t>RMSE change</w:t>
            </w:r>
          </w:p>
        </w:tc>
        <w:tc>
          <w:tcPr>
            <w:tcW w:type="dxa" w:w="1296"/>
            <w:shd w:fill="D9EAF7"/>
            <w:vAlign w:val="center"/>
          </w:tcPr>
          <w:p>
            <w:r>
              <w:rPr>
                <w:b/>
                <w:sz w:val="18"/>
              </w:rPr>
              <w:t>L1 change</w:t>
            </w:r>
          </w:p>
        </w:tc>
        <w:tc>
          <w:tcPr>
            <w:tcW w:type="dxa" w:w="1296"/>
            <w:shd w:fill="D9EAF7"/>
            <w:vAlign w:val="center"/>
          </w:tcPr>
          <w:p>
            <w:r>
              <w:rPr>
                <w:b/>
                <w:sz w:val="18"/>
              </w:rPr>
              <w:t>Linf change</w:t>
            </w:r>
          </w:p>
        </w:tc>
        <w:tc>
          <w:tcPr>
            <w:tcW w:type="dxa" w:w="3888"/>
            <w:shd w:fill="D9EAF7"/>
            <w:vAlign w:val="center"/>
          </w:tcPr>
          <w:p>
            <w:r>
              <w:rPr>
                <w:b/>
                <w:sz w:val="18"/>
              </w:rPr>
              <w:t>Interpretation</w:t>
            </w:r>
          </w:p>
        </w:tc>
      </w:tr>
      <w:tr>
        <w:tc>
          <w:tcPr>
            <w:tcW w:type="dxa" w:w="1584"/>
            <w:vAlign w:val="center"/>
          </w:tcPr>
          <w:p>
            <w:r>
              <w:rPr>
                <w:sz w:val="18"/>
              </w:rPr>
              <w:t>v vs iii</w:t>
            </w:r>
          </w:p>
        </w:tc>
        <w:tc>
          <w:tcPr>
            <w:tcW w:type="dxa" w:w="1296"/>
            <w:vAlign w:val="center"/>
          </w:tcPr>
          <w:p>
            <w:r>
              <w:rPr>
                <w:sz w:val="18"/>
              </w:rPr>
              <w:t>−0.56%</w:t>
            </w:r>
          </w:p>
        </w:tc>
        <w:tc>
          <w:tcPr>
            <w:tcW w:type="dxa" w:w="1296"/>
            <w:vAlign w:val="center"/>
          </w:tcPr>
          <w:p>
            <w:r>
              <w:rPr>
                <w:sz w:val="18"/>
              </w:rPr>
              <w:t>−0.61%</w:t>
            </w:r>
          </w:p>
        </w:tc>
        <w:tc>
          <w:tcPr>
            <w:tcW w:type="dxa" w:w="1296"/>
            <w:vAlign w:val="center"/>
          </w:tcPr>
          <w:p>
            <w:r>
              <w:rPr>
                <w:sz w:val="18"/>
              </w:rPr>
              <w:t>−0.39%</w:t>
            </w:r>
          </w:p>
        </w:tc>
        <w:tc>
          <w:tcPr>
            <w:tcW w:type="dxa" w:w="3888"/>
            <w:vAlign w:val="center"/>
          </w:tcPr>
          <w:p>
            <w:r>
              <w:rPr>
                <w:sz w:val="18"/>
              </w:rPr>
              <w:t>Very small, consistent advantage for v</w:t>
            </w:r>
          </w:p>
        </w:tc>
      </w:tr>
      <w:tr>
        <w:tc>
          <w:tcPr>
            <w:tcW w:type="dxa" w:w="1584"/>
            <w:vAlign w:val="center"/>
          </w:tcPr>
          <w:p>
            <w:r>
              <w:rPr>
                <w:sz w:val="18"/>
              </w:rPr>
              <w:t>v vs iv</w:t>
            </w:r>
          </w:p>
        </w:tc>
        <w:tc>
          <w:tcPr>
            <w:tcW w:type="dxa" w:w="1296"/>
            <w:vAlign w:val="center"/>
          </w:tcPr>
          <w:p>
            <w:r>
              <w:rPr>
                <w:sz w:val="18"/>
              </w:rPr>
              <w:t>−2.70%</w:t>
            </w:r>
          </w:p>
        </w:tc>
        <w:tc>
          <w:tcPr>
            <w:tcW w:type="dxa" w:w="1296"/>
            <w:vAlign w:val="center"/>
          </w:tcPr>
          <w:p>
            <w:r>
              <w:rPr>
                <w:sz w:val="18"/>
              </w:rPr>
              <w:t>−3.04%</w:t>
            </w:r>
          </w:p>
        </w:tc>
        <w:tc>
          <w:tcPr>
            <w:tcW w:type="dxa" w:w="1296"/>
            <w:vAlign w:val="center"/>
          </w:tcPr>
          <w:p>
            <w:r>
              <w:rPr>
                <w:sz w:val="18"/>
              </w:rPr>
              <w:t>−2.30%</w:t>
            </w:r>
          </w:p>
        </w:tc>
        <w:tc>
          <w:tcPr>
            <w:tcW w:type="dxa" w:w="3888"/>
            <w:vAlign w:val="center"/>
          </w:tcPr>
          <w:p>
            <w:r>
              <w:rPr>
                <w:sz w:val="18"/>
              </w:rPr>
              <w:t>Moderate advantage for v</w:t>
            </w:r>
          </w:p>
        </w:tc>
      </w:tr>
      <w:tr>
        <w:tc>
          <w:tcPr>
            <w:tcW w:type="dxa" w:w="1584"/>
            <w:vAlign w:val="center"/>
          </w:tcPr>
          <w:p>
            <w:r>
              <w:rPr>
                <w:sz w:val="18"/>
              </w:rPr>
              <w:t>iii vs iv</w:t>
            </w:r>
          </w:p>
        </w:tc>
        <w:tc>
          <w:tcPr>
            <w:tcW w:type="dxa" w:w="1296"/>
            <w:vAlign w:val="center"/>
          </w:tcPr>
          <w:p>
            <w:r>
              <w:rPr>
                <w:sz w:val="18"/>
              </w:rPr>
              <w:t>−2.15%</w:t>
            </w:r>
          </w:p>
        </w:tc>
        <w:tc>
          <w:tcPr>
            <w:tcW w:type="dxa" w:w="1296"/>
            <w:vAlign w:val="center"/>
          </w:tcPr>
          <w:p>
            <w:r>
              <w:rPr>
                <w:sz w:val="18"/>
              </w:rPr>
              <w:t>−2.45%</w:t>
            </w:r>
          </w:p>
        </w:tc>
        <w:tc>
          <w:tcPr>
            <w:tcW w:type="dxa" w:w="1296"/>
            <w:vAlign w:val="center"/>
          </w:tcPr>
          <w:p>
            <w:r>
              <w:rPr>
                <w:sz w:val="18"/>
              </w:rPr>
              <w:t>−1.92%</w:t>
            </w:r>
          </w:p>
        </w:tc>
        <w:tc>
          <w:tcPr>
            <w:tcW w:type="dxa" w:w="3888"/>
            <w:vAlign w:val="center"/>
          </w:tcPr>
          <w:p>
            <w:r>
              <w:rPr>
                <w:sz w:val="18"/>
              </w:rPr>
              <w:t>Consistent advantage for iii</w:t>
            </w:r>
          </w:p>
        </w:tc>
      </w:tr>
      <w:tr>
        <w:tc>
          <w:tcPr>
            <w:tcW w:type="dxa" w:w="1584"/>
            <w:vAlign w:val="center"/>
          </w:tcPr>
          <w:p>
            <w:r>
              <w:rPr>
                <w:sz w:val="18"/>
              </w:rPr>
              <w:t>v vs i</w:t>
            </w:r>
          </w:p>
        </w:tc>
        <w:tc>
          <w:tcPr>
            <w:tcW w:type="dxa" w:w="1296"/>
            <w:vAlign w:val="center"/>
          </w:tcPr>
          <w:p>
            <w:r>
              <w:rPr>
                <w:sz w:val="18"/>
              </w:rPr>
              <w:t>−3.92%</w:t>
            </w:r>
          </w:p>
        </w:tc>
        <w:tc>
          <w:tcPr>
            <w:tcW w:type="dxa" w:w="1296"/>
            <w:vAlign w:val="center"/>
          </w:tcPr>
          <w:p>
            <w:r>
              <w:rPr>
                <w:sz w:val="18"/>
              </w:rPr>
              <w:t>−3.80%</w:t>
            </w:r>
          </w:p>
        </w:tc>
        <w:tc>
          <w:tcPr>
            <w:tcW w:type="dxa" w:w="1296"/>
            <w:vAlign w:val="center"/>
          </w:tcPr>
          <w:p>
            <w:r>
              <w:rPr>
                <w:sz w:val="18"/>
              </w:rPr>
              <w:t>−4.29%</w:t>
            </w:r>
          </w:p>
        </w:tc>
        <w:tc>
          <w:tcPr>
            <w:tcW w:type="dxa" w:w="3888"/>
            <w:vAlign w:val="center"/>
          </w:tcPr>
          <w:p>
            <w:r>
              <w:rPr>
                <w:sz w:val="18"/>
              </w:rPr>
              <w:t>Meaningful general improvement</w:t>
            </w:r>
          </w:p>
        </w:tc>
      </w:tr>
      <w:tr>
        <w:tc>
          <w:tcPr>
            <w:tcW w:type="dxa" w:w="1584"/>
            <w:vAlign w:val="center"/>
          </w:tcPr>
          <w:p>
            <w:r>
              <w:rPr>
                <w:sz w:val="18"/>
              </w:rPr>
              <w:t>iii vs i</w:t>
            </w:r>
          </w:p>
        </w:tc>
        <w:tc>
          <w:tcPr>
            <w:tcW w:type="dxa" w:w="1296"/>
            <w:vAlign w:val="center"/>
          </w:tcPr>
          <w:p>
            <w:r>
              <w:rPr>
                <w:sz w:val="18"/>
              </w:rPr>
              <w:t>−3.38%</w:t>
            </w:r>
          </w:p>
        </w:tc>
        <w:tc>
          <w:tcPr>
            <w:tcW w:type="dxa" w:w="1296"/>
            <w:vAlign w:val="center"/>
          </w:tcPr>
          <w:p>
            <w:r>
              <w:rPr>
                <w:sz w:val="18"/>
              </w:rPr>
              <w:t>−3.21%</w:t>
            </w:r>
          </w:p>
        </w:tc>
        <w:tc>
          <w:tcPr>
            <w:tcW w:type="dxa" w:w="1296"/>
            <w:vAlign w:val="center"/>
          </w:tcPr>
          <w:p>
            <w:r>
              <w:rPr>
                <w:sz w:val="18"/>
              </w:rPr>
              <w:t>−3.92%</w:t>
            </w:r>
          </w:p>
        </w:tc>
        <w:tc>
          <w:tcPr>
            <w:tcW w:type="dxa" w:w="3888"/>
            <w:vAlign w:val="center"/>
          </w:tcPr>
          <w:p>
            <w:r>
              <w:rPr>
                <w:sz w:val="18"/>
              </w:rPr>
              <w:t>Meaningful general improvement</w:t>
            </w:r>
          </w:p>
        </w:tc>
      </w:tr>
      <w:tr>
        <w:tc>
          <w:tcPr>
            <w:tcW w:type="dxa" w:w="1584"/>
            <w:vAlign w:val="center"/>
          </w:tcPr>
          <w:p>
            <w:r>
              <w:rPr>
                <w:sz w:val="18"/>
              </w:rPr>
              <w:t>v vs ii</w:t>
            </w:r>
          </w:p>
        </w:tc>
        <w:tc>
          <w:tcPr>
            <w:tcW w:type="dxa" w:w="1296"/>
            <w:vAlign w:val="center"/>
          </w:tcPr>
          <w:p>
            <w:r>
              <w:rPr>
                <w:sz w:val="18"/>
              </w:rPr>
              <w:t>−15.88%</w:t>
            </w:r>
          </w:p>
        </w:tc>
        <w:tc>
          <w:tcPr>
            <w:tcW w:type="dxa" w:w="1296"/>
            <w:vAlign w:val="center"/>
          </w:tcPr>
          <w:p>
            <w:r>
              <w:rPr>
                <w:sz w:val="18"/>
              </w:rPr>
              <w:t>−15.55%</w:t>
            </w:r>
          </w:p>
        </w:tc>
        <w:tc>
          <w:tcPr>
            <w:tcW w:type="dxa" w:w="1296"/>
            <w:vAlign w:val="center"/>
          </w:tcPr>
          <w:p>
            <w:r>
              <w:rPr>
                <w:sz w:val="18"/>
              </w:rPr>
              <w:t>−16.13%</w:t>
            </w:r>
          </w:p>
        </w:tc>
        <w:tc>
          <w:tcPr>
            <w:tcW w:type="dxa" w:w="3888"/>
            <w:vAlign w:val="center"/>
          </w:tcPr>
          <w:p>
            <w:r>
              <w:rPr>
                <w:sz w:val="18"/>
              </w:rPr>
              <w:t>Large improvement across all metrics</w:t>
            </w:r>
          </w:p>
        </w:tc>
      </w:tr>
    </w:tbl>
    <w:p>
      <w:pPr>
        <w:spacing w:after="20"/>
      </w:pPr>
    </w:p>
    <w:p>
      <w:pPr>
        <w:pStyle w:val="Heading1"/>
      </w:pPr>
      <w:r>
        <w:t>4. Inference on Relative Efficiency</w:t>
      </w:r>
    </w:p>
    <w:p>
      <w:pPr>
        <w:spacing w:after="100"/>
      </w:pPr>
      <w:r>
        <w:t>Because the paired responses are log-transformed errors, a mean difference Δ for target minus reference corresponds to an error ratio exp(Δ). The percentage change in error is 100[exp(Δ) − 1]. Negative values indicate that the target method has lower error. This interpretation is exact for the reported geometric error ratio, not an approximation based only on the raw log coefficient.</w:t>
      </w:r>
    </w:p>
    <w:p>
      <w:pPr>
        <w:spacing w:after="100"/>
      </w:pPr>
      <w:r>
        <w:t>The largest efficiency gains arise from avoiding method ii. Methods iii, iv, and v reduce error relative to ii by approximately 13%–16%, depending on the metric. Moving from method i to methods iii or v yields a smaller but still meaningful reduction of approximately 3%–4%. Moving from method iii to method v yields less than a 1% reduction, so the practical choice between these two methods should also account for numerical convergence, computational cost, implementation complexity, and sensitivity to misspecification.</w:t>
      </w:r>
    </w:p>
    <w:p>
      <w:pPr>
        <w:spacing w:after="100"/>
      </w:pPr>
      <w:r>
        <w:t>Robustness recommendation. Method v is the preferred estimator for general compositional likelihood applications because it has the lowest mean error for every metric and retains its advantage in the global paired analysis. Method iii is the strongest alternative and is practically close to v. Method iv is usable but consistently less efficient. Method i is an intermediate baseline. Method ii should not be selected for general use because it is uniformly and substantially less accurate in the mean results.</w:t>
      </w:r>
    </w:p>
    <w:p>
      <w:pPr>
        <w:pStyle w:val="Heading1"/>
      </w:pPr>
      <w:r>
        <w:t>5. Overall Conclusions for a Methodology Paper</w:t>
      </w:r>
    </w:p>
    <w:p>
      <w:pPr>
        <w:spacing w:after="100"/>
      </w:pPr>
      <w:r>
        <w:t>The simulation study provides a statistically decisive and practically interpretable hierarchy among the five estimators. All pairwise multivariate mean vectors differ significantly, but the effect sizes separate the comparisons into two classes. Contrasts involving method ii are large and consequential; contrasts among v, iii, and iv are smaller, with v versus iii especially close.</w:t>
      </w:r>
    </w:p>
    <w:p>
      <w:pPr>
        <w:spacing w:after="100"/>
      </w:pPr>
      <w:r>
        <w:t>Relative estimator performance is most sensitive to sigma, followed by mean sample size and G. Theta_true has a moderate influence. Design_block and p2 can matter for particular method pairs, whereas theta_CV is generally the least influential factor. These findings indicate that noise intensity and sampling structure, rather than modest variation in coefficient of variation, are the primary determinants of estimator stability.</w:t>
      </w:r>
    </w:p>
    <w:p>
      <w:pPr>
        <w:spacing w:after="100"/>
      </w:pPr>
      <w:r>
        <w:t>The multivariate and univariate analyses agree: the ranking persists across RMSE, L1, and Linf, and no leading method exhibits a hidden Linf weakness. The recommended default is method v, with method iii as a near-equivalent robust alternative. The available additive factorial analyses do not establish niche reversals; a formal crossover assessment would require level-specific marginal contrasts or explicit interaction models.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Code C1-C2 Statistical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