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Multivariate Linear Mixed Effects Analysis of Estimation Accuracy</w:t>
      </w:r>
    </w:p>
    <w:p>
      <w:pPr>
        <w:jc w:val="center"/>
      </w:pPr>
      <w:r>
        <w:rPr>
          <w:b/>
          <w:color w:val="464646"/>
          <w:sz w:val="22"/>
        </w:rPr>
        <w:t>Type III tests, random effects, estimated marginal means, and method comparisons</w:t>
      </w:r>
    </w:p>
    <w:p>
      <w:pPr>
        <w:jc w:val="center"/>
      </w:pPr>
      <w:r>
        <w:rPr>
          <w:i/>
        </w:rPr>
        <w:t>Analysis of results-code-B-RE-simplex-run3.txt</w:t>
      </w:r>
    </w:p>
    <w:p>
      <w:pPr>
        <w:keepLines/>
      </w:pPr>
      <w:r>
        <w:t>This report evaluates five proportion-estimation methods using a multivariate linear mixed-effects model fitted to 236,925 log-transformed accuracy observations across three metrics: RMSE, L1, and Linf. The principal result is a stable global ordering: methods iii, iv, and v form the leading accuracy group, method i is intermediate, and method ii is least accurate. The method by metric interaction is highly significant, but it changes the magnitude of method differences rather than reversing their order across metrics.</w:t>
      </w:r>
    </w:p>
    <w:p>
      <w:pPr>
        <w:keepLines/>
      </w:pPr>
      <w:r>
        <w:t>Observation-error scale (sigma) and G were the dominant experimental factors. The simplex random intercept accounted for approximately 11.3% of conditional variance, demonstrating meaningful between-simplex heterogeneity while leaving most variability at the observation level. Because the random effect is an intercept only, it supports inference about average rankings across simplexes but does not directly test whether method rankings themselves vary among simplexes.</w:t>
      </w:r>
    </w:p>
    <w:p>
      <w:pPr>
        <w:pStyle w:val="Heading1"/>
      </w:pPr>
      <w:r>
        <w:t>Analysis scope and model structure</w:t>
      </w:r>
    </w:p>
    <w:p>
      <w:pPr>
        <w:keepLines/>
      </w:pPr>
      <w:r>
        <w:t>The model was log_accuracy ~ method * metric + method * design_block + method * G + method * theta_true + method * sigma + method * mean_nsamp + method * p1 + method * p2 + (1 | simplex_id). It included five methods, three error metrics, the factorial conditions, continuous simplex coordinates p1 and p2, and a random intercept for simplex_id. The 236,925 rows equal 78,975 accuracy records evaluated under three metrics. Fixed-effect tests used Type III sums of squares with Satterthwaite denominator degrees of freedom.</w:t>
      </w:r>
    </w:p>
    <w:p>
      <w:pPr>
        <w:keepLines/>
      </w:pPr>
      <w:r>
        <w:t>Although the analysis is described as multivariate, the fitted object is a scalar, stacked-response LMM with metric represented as a fixed factor. This parameterization tests whether mean accuracy and method contrasts differ among RMSE, L1, and Linf, but it does not estimate an unrestricted three-by-three residual covariance matrix for the three metrics. The simplex random intercept supplies one source of dependence. A multivariate-response mixed model or scenario-level clustered sensitivity analysis would be useful if residual dependence among metrics remains after that adjustment.</w:t>
      </w:r>
    </w:p>
    <w:p>
      <w:pPr>
        <w:keepLines/>
      </w:pPr>
      <w:r>
        <w:t>The underlying balanced design used Poisson, Lognormal, and Negative binomial sampling blocks; mean sample sizes of 25, 50, and 100; sigma values of 0.25, 0.5, and 1; theta_true values of 0.5, 1, and 2; and G values of 2, 4, and 8. Estimated marginal means were averaged equally over design block, G, theta_true, sigma, and mean sample size. The post-hoc degrees of freedom were asymptotic, and all families of ten pairwise method comparisons used Holm adjustment.</w:t>
      </w:r>
    </w:p>
    <w:p>
      <w:pPr>
        <w:keepLines/>
      </w:pPr>
      <w:r>
        <w:t>Lower log_accuracy indicates lower estimation error. EMMs are reported on the fitted log scale; approximate original error values may be obtained with expm1 when the transformation is log1p(error). Comparisons among methods are most reliable on the fitted scale because averaging and nonlinear back-transformation do not commute.</w:t>
      </w:r>
    </w:p>
    <w:p>
      <w:pPr>
        <w:pStyle w:val="Heading1"/>
      </w:pPr>
      <w:r>
        <w:t>1 Model Interpretation and Significance</w:t>
      </w:r>
    </w:p>
    <w:p>
      <w:pPr>
        <w:keepLines/>
      </w:pPr>
      <w:r>
        <w:t>Method was significant after adjustment for metric and all experimental conditions, F(4, 233704) = 7.94, p = 2.161e-06. Metric was overwhelmingly significant, F(2, 233704) = 37907.44, p &lt; 2.2e-16, reflecting the different numerical scales of RMSE, L1, and Linf. The method by metric interaction was also highly significant, F(8, 233704) = 53.44, p &lt; 2.2e-16. Therefore, a single method contrast averaged over metrics does not completely describe performance; the size of each method advantage depends on the error definition.</w:t>
      </w:r>
    </w:p>
    <w:p>
      <w:pPr>
        <w:keepLines/>
      </w:pPr>
      <w:r>
        <w:t>The interaction did not produce a rank crossover. Methods iii-v were best for every metric, method i remained intermediate, and method ii remained worst. Instead, the separations were largest for L1 and smallest for RMSE. For example, the method ii minus method iii gap was 0.0370 on the log scale for L1, 0.0212 for Linf, and 0.0166 for RMSE. Likewise, method i exceeded method iii by 0.0157 for L1, 0.00931 for Linf, and 0.00707 for RMSE. The interaction is therefore a scale-sensitive change in effect magnitude rather than evidence that a different method should be selected for a different metric.</w:t>
      </w:r>
    </w:p>
    <w:p>
      <w:pPr>
        <w:keepLines/>
      </w:pPr>
      <w:r>
        <w:t>If log_accuracy is the natural logarithm of the raw error, exponentiation converts these contrasts to relative errors: method ii is approximately 3.77 percent, 2.14 percent, and 1.67 percent higher than method iii for L1, Linf, and RMSE, respectively; method i is approximately 1.58 percent, 0.94 percent, and 0.71 percent higher. If the implemented transformation is log1p(error), the same calculations instead describe ratios of one plus error and are not exact percentage changes in raw error. This distinction should be stated explicitly in the methods section of any manuscript.</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2232"/>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5"/>
              </w:rPr>
              <w:t>Fixed effect</w:t>
            </w:r>
          </w:p>
        </w:tc>
        <w:tc>
          <w:tcPr>
            <w:tcW w:type="dxa" w:w="979"/>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5"/>
              </w:rPr>
              <w:t>Num df</w:t>
            </w:r>
          </w:p>
        </w:tc>
        <w:tc>
          <w:tcPr>
            <w:tcW w:type="dxa" w:w="1123"/>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5"/>
              </w:rPr>
              <w:t>Den df</w:t>
            </w:r>
          </w:p>
        </w:tc>
        <w:tc>
          <w:tcPr>
            <w:tcW w:type="dxa" w:w="1613"/>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5"/>
              </w:rPr>
              <w:t>F</w:t>
            </w:r>
          </w:p>
        </w:tc>
        <w:tc>
          <w:tcPr>
            <w:tcW w:type="dxa" w:w="1469"/>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5"/>
              </w:rPr>
              <w:t>p value</w:t>
            </w:r>
          </w:p>
        </w:tc>
        <w:tc>
          <w:tcPr>
            <w:tcW w:type="dxa" w:w="1656"/>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5"/>
              </w:rPr>
              <w:t>Interpretation</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5"/>
              </w:rPr>
              <w:t>Method</w:t>
            </w:r>
          </w:p>
        </w:tc>
        <w:tc>
          <w:tcPr>
            <w:tcW w:type="dxa" w:w="97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4</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233704</w:t>
            </w:r>
          </w:p>
        </w:tc>
        <w:tc>
          <w:tcPr>
            <w:tcW w:type="dxa" w:w="161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7.9358</w:t>
            </w:r>
          </w:p>
        </w:tc>
        <w:tc>
          <w:tcPr>
            <w:tcW w:type="dxa" w:w="146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2.161e-06</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Significant</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5"/>
              </w:rPr>
              <w:t>Metric</w:t>
            </w:r>
          </w:p>
        </w:tc>
        <w:tc>
          <w:tcPr>
            <w:tcW w:type="dxa" w:w="97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2</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233704</w:t>
            </w:r>
          </w:p>
        </w:tc>
        <w:tc>
          <w:tcPr>
            <w:tcW w:type="dxa" w:w="161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37907.4354</w:t>
            </w:r>
          </w:p>
        </w:tc>
        <w:tc>
          <w:tcPr>
            <w:tcW w:type="dxa" w:w="146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&lt;2.2e-16</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Dominant scale effect</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5"/>
              </w:rPr>
              <w:t>Design block</w:t>
            </w:r>
          </w:p>
        </w:tc>
        <w:tc>
          <w:tcPr>
            <w:tcW w:type="dxa" w:w="97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2</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3146</w:t>
            </w:r>
          </w:p>
        </w:tc>
        <w:tc>
          <w:tcPr>
            <w:tcW w:type="dxa" w:w="161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42.4414</w:t>
            </w:r>
          </w:p>
        </w:tc>
        <w:tc>
          <w:tcPr>
            <w:tcW w:type="dxa" w:w="146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&lt;2.2e-16</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Significant</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5"/>
              </w:rPr>
              <w:t>G</w:t>
            </w:r>
          </w:p>
        </w:tc>
        <w:tc>
          <w:tcPr>
            <w:tcW w:type="dxa" w:w="97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2</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3146</w:t>
            </w:r>
          </w:p>
        </w:tc>
        <w:tc>
          <w:tcPr>
            <w:tcW w:type="dxa" w:w="161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1094.8077</w:t>
            </w:r>
          </w:p>
        </w:tc>
        <w:tc>
          <w:tcPr>
            <w:tcW w:type="dxa" w:w="146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&lt;2.2e-16</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Strong</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5"/>
              </w:rPr>
              <w:t>theta_true</w:t>
            </w:r>
          </w:p>
        </w:tc>
        <w:tc>
          <w:tcPr>
            <w:tcW w:type="dxa" w:w="97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2</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3146</w:t>
            </w:r>
          </w:p>
        </w:tc>
        <w:tc>
          <w:tcPr>
            <w:tcW w:type="dxa" w:w="161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0.5299</w:t>
            </w:r>
          </w:p>
        </w:tc>
        <w:tc>
          <w:tcPr>
            <w:tcW w:type="dxa" w:w="146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0.5887377</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Not significant</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5"/>
              </w:rPr>
              <w:t>Sigma</w:t>
            </w:r>
          </w:p>
        </w:tc>
        <w:tc>
          <w:tcPr>
            <w:tcW w:type="dxa" w:w="97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2</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3146</w:t>
            </w:r>
          </w:p>
        </w:tc>
        <w:tc>
          <w:tcPr>
            <w:tcW w:type="dxa" w:w="161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2699.6830</w:t>
            </w:r>
          </w:p>
        </w:tc>
        <w:tc>
          <w:tcPr>
            <w:tcW w:type="dxa" w:w="146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&lt;2.2e-16</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Strongest condition</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5"/>
              </w:rPr>
              <w:t>Mean sample size</w:t>
            </w:r>
          </w:p>
        </w:tc>
        <w:tc>
          <w:tcPr>
            <w:tcW w:type="dxa" w:w="97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2</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3146</w:t>
            </w:r>
          </w:p>
        </w:tc>
        <w:tc>
          <w:tcPr>
            <w:tcW w:type="dxa" w:w="161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26.7586</w:t>
            </w:r>
          </w:p>
        </w:tc>
        <w:tc>
          <w:tcPr>
            <w:tcW w:type="dxa" w:w="146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2.997e-12</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Significant</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5"/>
              </w:rPr>
              <w:t>p1</w:t>
            </w:r>
          </w:p>
        </w:tc>
        <w:tc>
          <w:tcPr>
            <w:tcW w:type="dxa" w:w="97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1</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3146</w:t>
            </w:r>
          </w:p>
        </w:tc>
        <w:tc>
          <w:tcPr>
            <w:tcW w:type="dxa" w:w="161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74.1198</w:t>
            </w:r>
          </w:p>
        </w:tc>
        <w:tc>
          <w:tcPr>
            <w:tcW w:type="dxa" w:w="146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&lt;2.2e-16</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Significant</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5"/>
              </w:rPr>
              <w:t>p2</w:t>
            </w:r>
          </w:p>
        </w:tc>
        <w:tc>
          <w:tcPr>
            <w:tcW w:type="dxa" w:w="97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1</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3146</w:t>
            </w:r>
          </w:p>
        </w:tc>
        <w:tc>
          <w:tcPr>
            <w:tcW w:type="dxa" w:w="161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21.5918</w:t>
            </w:r>
          </w:p>
        </w:tc>
        <w:tc>
          <w:tcPr>
            <w:tcW w:type="dxa" w:w="146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3.511e-06</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Significant</w:t>
            </w:r>
          </w:p>
        </w:tc>
      </w:tr>
    </w:tbl>
    <w:p>
      <w:pPr>
        <w:spacing w:after="0"/>
      </w:pPr>
    </w:p>
    <w:p>
      <w:pPr>
        <w:pStyle w:val="TableNote"/>
      </w:pPr>
      <w:r>
        <w:t>Table 1a. Type III tests of fixed main effects using Satterthwaite denominator degrees of freedom.</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2520"/>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5"/>
              </w:rPr>
              <w:t>Interaction</w:t>
            </w:r>
          </w:p>
        </w:tc>
        <w:tc>
          <w:tcPr>
            <w:tcW w:type="dxa" w:w="893"/>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5"/>
              </w:rPr>
              <w:t>Num df</w:t>
            </w:r>
          </w:p>
        </w:tc>
        <w:tc>
          <w:tcPr>
            <w:tcW w:type="dxa" w:w="1123"/>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5"/>
              </w:rPr>
              <w:t>Den df</w:t>
            </w:r>
          </w:p>
        </w:tc>
        <w:tc>
          <w:tcPr>
            <w:tcW w:type="dxa" w:w="1526"/>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5"/>
              </w:rPr>
              <w:t>F</w:t>
            </w:r>
          </w:p>
        </w:tc>
        <w:tc>
          <w:tcPr>
            <w:tcW w:type="dxa" w:w="1469"/>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5"/>
              </w:rPr>
              <w:t>p value</w:t>
            </w:r>
          </w:p>
        </w:tc>
        <w:tc>
          <w:tcPr>
            <w:tcW w:type="dxa" w:w="1555"/>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5"/>
              </w:rPr>
              <w:t>Interpretation</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5"/>
              </w:rPr>
              <w:t>Method x metric</w:t>
            </w:r>
          </w:p>
        </w:tc>
        <w:tc>
          <w:tcPr>
            <w:tcW w:type="dxa" w:w="89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8</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233704</w:t>
            </w:r>
          </w:p>
        </w:tc>
        <w:tc>
          <w:tcPr>
            <w:tcW w:type="dxa" w:w="152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53.4438</w:t>
            </w:r>
          </w:p>
        </w:tc>
        <w:tc>
          <w:tcPr>
            <w:tcW w:type="dxa" w:w="146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&lt;2.2e-16</w:t>
            </w:r>
          </w:p>
        </w:tc>
        <w:tc>
          <w:tcPr>
            <w:tcW w:type="dxa" w:w="1555"/>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Significant</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5"/>
              </w:rPr>
              <w:t>Method x design block</w:t>
            </w:r>
          </w:p>
        </w:tc>
        <w:tc>
          <w:tcPr>
            <w:tcW w:type="dxa" w:w="89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8</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233704</w:t>
            </w:r>
          </w:p>
        </w:tc>
        <w:tc>
          <w:tcPr>
            <w:tcW w:type="dxa" w:w="152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28.0920</w:t>
            </w:r>
          </w:p>
        </w:tc>
        <w:tc>
          <w:tcPr>
            <w:tcW w:type="dxa" w:w="146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&lt;2.2e-16</w:t>
            </w:r>
          </w:p>
        </w:tc>
        <w:tc>
          <w:tcPr>
            <w:tcW w:type="dxa" w:w="1555"/>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Significant</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5"/>
              </w:rPr>
              <w:t>Method x G</w:t>
            </w:r>
          </w:p>
        </w:tc>
        <w:tc>
          <w:tcPr>
            <w:tcW w:type="dxa" w:w="89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8</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233704</w:t>
            </w:r>
          </w:p>
        </w:tc>
        <w:tc>
          <w:tcPr>
            <w:tcW w:type="dxa" w:w="152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73.5562</w:t>
            </w:r>
          </w:p>
        </w:tc>
        <w:tc>
          <w:tcPr>
            <w:tcW w:type="dxa" w:w="146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&lt;2.2e-16</w:t>
            </w:r>
          </w:p>
        </w:tc>
        <w:tc>
          <w:tcPr>
            <w:tcW w:type="dxa" w:w="1555"/>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Significant</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5"/>
              </w:rPr>
              <w:t>Method x theta_true</w:t>
            </w:r>
          </w:p>
        </w:tc>
        <w:tc>
          <w:tcPr>
            <w:tcW w:type="dxa" w:w="89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8</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233704</w:t>
            </w:r>
          </w:p>
        </w:tc>
        <w:tc>
          <w:tcPr>
            <w:tcW w:type="dxa" w:w="152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1.2932</w:t>
            </w:r>
          </w:p>
        </w:tc>
        <w:tc>
          <w:tcPr>
            <w:tcW w:type="dxa" w:w="146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0.2416241</w:t>
            </w:r>
          </w:p>
        </w:tc>
        <w:tc>
          <w:tcPr>
            <w:tcW w:type="dxa" w:w="1555"/>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Not significant</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5"/>
              </w:rPr>
              <w:t>Method x sigma</w:t>
            </w:r>
          </w:p>
        </w:tc>
        <w:tc>
          <w:tcPr>
            <w:tcW w:type="dxa" w:w="89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8</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233704</w:t>
            </w:r>
          </w:p>
        </w:tc>
        <w:tc>
          <w:tcPr>
            <w:tcW w:type="dxa" w:w="152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192.5098</w:t>
            </w:r>
          </w:p>
        </w:tc>
        <w:tc>
          <w:tcPr>
            <w:tcW w:type="dxa" w:w="146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&lt;2.2e-16</w:t>
            </w:r>
          </w:p>
        </w:tc>
        <w:tc>
          <w:tcPr>
            <w:tcW w:type="dxa" w:w="1555"/>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Largest interaction</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5"/>
              </w:rPr>
              <w:t>Method x mean sample size</w:t>
            </w:r>
          </w:p>
        </w:tc>
        <w:tc>
          <w:tcPr>
            <w:tcW w:type="dxa" w:w="89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8</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233704</w:t>
            </w:r>
          </w:p>
        </w:tc>
        <w:tc>
          <w:tcPr>
            <w:tcW w:type="dxa" w:w="152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35.4694</w:t>
            </w:r>
          </w:p>
        </w:tc>
        <w:tc>
          <w:tcPr>
            <w:tcW w:type="dxa" w:w="146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&lt;2.2e-16</w:t>
            </w:r>
          </w:p>
        </w:tc>
        <w:tc>
          <w:tcPr>
            <w:tcW w:type="dxa" w:w="1555"/>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Significant</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5"/>
              </w:rPr>
              <w:t>Method x p1</w:t>
            </w:r>
          </w:p>
        </w:tc>
        <w:tc>
          <w:tcPr>
            <w:tcW w:type="dxa" w:w="89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4</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233704</w:t>
            </w:r>
          </w:p>
        </w:tc>
        <w:tc>
          <w:tcPr>
            <w:tcW w:type="dxa" w:w="152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5.1584</w:t>
            </w:r>
          </w:p>
        </w:tc>
        <w:tc>
          <w:tcPr>
            <w:tcW w:type="dxa" w:w="146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0.0003744</w:t>
            </w:r>
          </w:p>
        </w:tc>
        <w:tc>
          <w:tcPr>
            <w:tcW w:type="dxa" w:w="1555"/>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5"/>
              </w:rPr>
              <w:t>Significant; small</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5"/>
              </w:rPr>
              <w:t>Method x p2</w:t>
            </w:r>
          </w:p>
        </w:tc>
        <w:tc>
          <w:tcPr>
            <w:tcW w:type="dxa" w:w="89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4</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233704</w:t>
            </w:r>
          </w:p>
        </w:tc>
        <w:tc>
          <w:tcPr>
            <w:tcW w:type="dxa" w:w="152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6.1491</w:t>
            </w:r>
          </w:p>
        </w:tc>
        <w:tc>
          <w:tcPr>
            <w:tcW w:type="dxa" w:w="1469"/>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6.067e-05</w:t>
            </w:r>
          </w:p>
        </w:tc>
        <w:tc>
          <w:tcPr>
            <w:tcW w:type="dxa" w:w="1555"/>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5"/>
              </w:rPr>
              <w:t>Significant; small</w:t>
            </w:r>
          </w:p>
        </w:tc>
      </w:tr>
    </w:tbl>
    <w:p>
      <w:pPr>
        <w:spacing w:after="0"/>
      </w:pPr>
    </w:p>
    <w:p>
      <w:pPr>
        <w:pStyle w:val="TableNote"/>
      </w:pPr>
      <w:r>
        <w:t>Table 1b. Type III tests of method interactions.</w:t>
      </w:r>
    </w:p>
    <w:p>
      <w:pPr>
        <w:pStyle w:val="Heading1"/>
      </w:pPr>
      <w:r>
        <w:t>2 Experimental Factor Influence</w:t>
      </w:r>
    </w:p>
    <w:p>
      <w:pPr>
        <w:keepLines/>
      </w:pPr>
      <w:r>
        <w:t>Among the experimental conditions, sigma exerted the greatest influence, F = 2699.68, followed by G, F = 1094.81. The next tier consisted of p1, F = 74.12; design block, F = 42.44; mean sample size, F = 26.76; and p2, F = 21.59. Theta_true had the least influence and was not significant, F = 0.53, p = 0.589. This hierarchy indicates that observation-error magnitude and the number of composition groups changed accuracy far more than the true concentration parameter over the tested range.</w:t>
      </w:r>
    </w:p>
    <w:p>
      <w:pPr>
        <w:keepLines/>
      </w:pPr>
      <w:r>
        <w:t>F-statistics are not literal variance shares, particularly because the Satterthwaite denominator degrees of freedom differ between method-level and scenario-level terms. As a scale-free supplement, approximate partial eta squared computed from F and its degrees of freedom gives 0.632 for sigma, 0.410 for G, 0.026 for design block, 0.023 for p1, 0.017 for mean sample size, 0.0068 for p2, and 0.00034 for theta_true. These values reinforce the same ordering but should be interpreted as approximate test-based effect magnitudes in this mixed-model setting.</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44"/>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6"/>
              </w:rPr>
              <w:t>Factor</w:t>
            </w:r>
          </w:p>
        </w:tc>
        <w:tc>
          <w:tcPr>
            <w:tcW w:type="dxa" w:w="1224"/>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6"/>
              </w:rPr>
              <w:t>F</w:t>
            </w:r>
          </w:p>
        </w:tc>
        <w:tc>
          <w:tcPr>
            <w:tcW w:type="dxa" w:w="1584"/>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6"/>
              </w:rPr>
              <w:t>p value</w:t>
            </w:r>
          </w:p>
        </w:tc>
        <w:tc>
          <w:tcPr>
            <w:tcW w:type="dxa" w:w="2376"/>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6"/>
              </w:rPr>
              <w:t>Approx partial eta squared</w:t>
            </w:r>
          </w:p>
        </w:tc>
        <w:tc>
          <w:tcPr>
            <w:tcW w:type="dxa" w:w="1800"/>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6"/>
              </w:rPr>
              <w:t>Influence</w:t>
            </w:r>
          </w:p>
        </w:tc>
      </w:tr>
      <w:tr>
        <w:trPr>
          <w:cantSplit w:val="true"/>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6"/>
              </w:rPr>
              <w:t>Sigma</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2699.68</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&lt;2.2e-16</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0.632</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Dominant</w:t>
            </w:r>
          </w:p>
        </w:tc>
      </w:tr>
      <w:tr>
        <w:trPr>
          <w:cantSplit w:val="true"/>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6"/>
              </w:rPr>
              <w:t>G</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1094.81</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&lt;2.2e-16</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0.410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Second</w:t>
            </w:r>
          </w:p>
        </w:tc>
      </w:tr>
      <w:tr>
        <w:trPr>
          <w:cantSplit w:val="true"/>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6"/>
              </w:rPr>
              <w:t>p1</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74.12</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&lt;2.2e-16</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0.023</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Moderate-small</w:t>
            </w:r>
          </w:p>
        </w:tc>
      </w:tr>
      <w:tr>
        <w:trPr>
          <w:cantSplit w:val="true"/>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6"/>
              </w:rPr>
              <w:t>Design block</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42.44</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&lt;2.2e-16</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0.026</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Moderate-small</w:t>
            </w:r>
          </w:p>
        </w:tc>
      </w:tr>
      <w:tr>
        <w:trPr>
          <w:cantSplit w:val="true"/>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6"/>
              </w:rPr>
              <w:t>Mean sample size</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26.76</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2.997e-12</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0.017</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Small</w:t>
            </w:r>
          </w:p>
        </w:tc>
      </w:tr>
      <w:tr>
        <w:trPr>
          <w:cantSplit w:val="true"/>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6"/>
              </w:rPr>
              <w:t>p2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21.59</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3.511e-06</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0.0068</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Small</w:t>
            </w:r>
          </w:p>
        </w:tc>
      </w:tr>
      <w:tr>
        <w:trPr>
          <w:cantSplit w:val="true"/>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6"/>
              </w:rPr>
              <w:t>theta_true</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0.53</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0.5887</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0.00034</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Negligible</w:t>
            </w:r>
          </w:p>
        </w:tc>
      </w:tr>
    </w:tbl>
    <w:p>
      <w:pPr>
        <w:spacing w:after="0"/>
      </w:pPr>
    </w:p>
    <w:p>
      <w:pPr>
        <w:pStyle w:val="TableNote"/>
      </w:pPr>
      <w:r>
        <w:t>Table 2. Experimental-factor hierarchy. F provides the requested direct ranking; approximate partial eta squared is included as supporting context.</w:t>
      </w:r>
    </w:p>
    <w:p>
      <w:pPr>
        <w:keepLines/>
      </w:pPr>
      <w:r>
        <w:t>Method sensitivity followed a similar pattern. Method by sigma was the largest interaction, F = 192.51, followed by method by G, F = 73.56; method by mean sample size, F = 35.47; and method by design block, F = 28.09. Method by p1 and method by p2 were statistically significant but small. Method by theta_true was not significant. Accordingly, relative performance is most likely to vary in magnitude across sigma and G, while it is stable across theta_true.</w:t>
      </w:r>
    </w:p>
    <w:p>
      <w:pPr>
        <w:pStyle w:val="Heading1"/>
      </w:pPr>
      <w:r>
        <w:t>3 Comparative Method Performance</w:t>
      </w:r>
    </w:p>
    <w:p>
      <w:pPr>
        <w:keepLines/>
      </w:pPr>
      <w:r>
        <w:t>The metric-specific EMMs show the same method hierarchy for RMSE, L1, and Linf. Methods iii, iv, and v have the lowest fitted mean errors and do not differ significantly from one another after Holm adjustment. Method i is significantly less accurate than each of methods iii-v but significantly more accurate than method ii. Method ii is significantly less accurate than every other method. Thus, the globally superior set is iii-v, with no statistical basis in these results for selecting one member of that set over the others.</w:t>
      </w:r>
    </w:p>
    <w:p>
      <w:pPr>
        <w:pStyle w:val="Heading2"/>
      </w:pPr>
      <w:r>
        <w:t>Metric specific estimated marginal means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00"/>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6"/>
              </w:rPr>
              <w:t>Metric</w:t>
            </w:r>
          </w:p>
        </w:tc>
        <w:tc>
          <w:tcPr>
            <w:tcW w:type="dxa" w:w="1584"/>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6"/>
              </w:rPr>
              <w:t>Method</w:t>
            </w:r>
          </w:p>
        </w:tc>
        <w:tc>
          <w:tcPr>
            <w:tcW w:type="dxa" w:w="2232"/>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6"/>
              </w:rPr>
              <w:t>EMM log scale</w:t>
            </w:r>
          </w:p>
        </w:tc>
        <w:tc>
          <w:tcPr>
            <w:tcW w:type="dxa" w:w="2088"/>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6"/>
              </w:rPr>
              <w:t>Holm group</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6"/>
              </w:rPr>
              <w:t>RMSE</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iii</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0.0651</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A</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6"/>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v</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0.0657</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A</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6"/>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iv</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0.0658</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A</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6"/>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i</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0.0722</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B</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6"/>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ii</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0.0817</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C</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6"/>
              </w:rPr>
              <w:t>L1</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iii</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0.1615</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A</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6"/>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v</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0.1632</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A</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6"/>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iv</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0.1633</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A</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6"/>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i</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0.1771</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B</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6"/>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ii</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0.1985</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C</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6"/>
              </w:rPr>
              <w:t>Linf</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iii</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0.0858</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A</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6"/>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v</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0.0868</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A</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6"/>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iv</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0.0868</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A</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6"/>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i</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0.0951</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6"/>
              </w:rPr>
              <w:t>B</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6"/>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ii</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0.1070</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6"/>
              </w:rPr>
              <w:t>C</w:t>
            </w:r>
          </w:p>
        </w:tc>
      </w:tr>
    </w:tbl>
    <w:p>
      <w:pPr>
        <w:spacing w:after="0"/>
      </w:pPr>
    </w:p>
    <w:p>
      <w:pPr>
        <w:pStyle w:val="TableNote"/>
      </w:pPr>
      <w:r>
        <w:t>Table 3. Metric-specific EMM rankings. Methods sharing a letter are not significantly different within that metric; lower EMMs indicate greater accuracy.</w:t>
      </w:r>
    </w:p>
    <w:p>
      <w:pPr>
        <w:keepLines/>
      </w:pPr>
      <w:r>
        <w:t>For RMSE, every contrast involving method i or ii was significant at p &lt; 0.0001, while iii versus iv, iii versus v, and iv versus v all had adjusted p = 1.000. For L1, the same seven contrasts were significant at p &lt; 0.0001; the leading-group contrasts had adjusted p values of 0.1201, 0.1201, and 0.9618. For Linf, the same seven contrasts were significant at p &lt; 0.0001; leading-group adjusted p values were 0.7765, 0.7765, and 0.9757. This consistency is stronger evidence of robustness across error definitions than the omnibus interaction alone might suggest.</w:t>
      </w:r>
    </w:p>
    <w:p>
      <w:pPr>
        <w:pStyle w:val="Heading2"/>
      </w:pPr>
      <w:r>
        <w:t>Global method means</w:t>
      </w:r>
    </w:p>
    <w:p>
      <w:pPr>
        <w:keepLines/>
      </w:pPr>
      <w:r>
        <w:t>Averaged over all metrics and factorial conditions, the EMMs were 0.104 for method iii, 0.105 for methods iv and v, 0.115 for method i, and 0.129 for method ii. The seven contrasts separating i and ii from the leading group, and separating i from ii, were all significant at p &lt; 0.0001. Method iii versus iv and method iii versus v were close but did not pass Holm adjustment (both p = 0.0604); method iv versus v was clearly nonsignificant (p = 0.9153). Because the global means average error metrics with different marginal scales, the metric-specific contrasts remain the more interpretable comparisons.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584"/>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7"/>
              </w:rPr>
              <w:t>Method</w:t>
            </w:r>
          </w:p>
        </w:tc>
        <w:tc>
          <w:tcPr>
            <w:tcW w:type="dxa" w:w="1944"/>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7"/>
              </w:rPr>
              <w:t>Global EMM</w:t>
            </w:r>
          </w:p>
        </w:tc>
        <w:tc>
          <w:tcPr>
            <w:tcW w:type="dxa" w:w="2592"/>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7"/>
              </w:rPr>
              <w:t>95 percent interval</w:t>
            </w:r>
          </w:p>
        </w:tc>
        <w:tc>
          <w:tcPr>
            <w:tcW w:type="dxa" w:w="2880"/>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7"/>
              </w:rPr>
              <w:t>Assessment</w:t>
            </w:r>
          </w:p>
        </w:tc>
      </w:tr>
      <w:tr>
        <w:trPr>
          <w:cantSplit w:val="true"/>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7"/>
              </w:rPr>
              <w:t>iii</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7"/>
              </w:rPr>
              <w:t>0.104</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7"/>
              </w:rPr>
              <w:t>0.103 to 0.105</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7"/>
              </w:rPr>
              <w:t>Leading</w:t>
            </w:r>
          </w:p>
        </w:tc>
      </w:tr>
      <w:tr>
        <w:trPr>
          <w:cantSplit w:val="true"/>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7"/>
              </w:rPr>
              <w:t>iv</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7"/>
              </w:rPr>
              <w:t>0.105</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7"/>
              </w:rPr>
              <w:t>0.104 to 0.106</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7"/>
              </w:rPr>
              <w:t>Leading</w:t>
            </w:r>
          </w:p>
        </w:tc>
      </w:tr>
      <w:tr>
        <w:trPr>
          <w:cantSplit w:val="true"/>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7"/>
              </w:rPr>
              <w:t>v</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7"/>
              </w:rPr>
              <w:t>0.105</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7"/>
              </w:rPr>
              <w:t>0.104 to 0.106</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7"/>
              </w:rPr>
              <w:t>Leading</w:t>
            </w:r>
          </w:p>
        </w:tc>
      </w:tr>
      <w:tr>
        <w:trPr>
          <w:cantSplit w:val="true"/>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7"/>
              </w:rPr>
              <w:t>i</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7"/>
              </w:rPr>
              <w:t>0.115</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7"/>
              </w:rPr>
              <w:t>0.114 to 0.116</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7"/>
              </w:rPr>
              <w:t>Intermediate</w:t>
            </w:r>
          </w:p>
        </w:tc>
      </w:tr>
      <w:tr>
        <w:trPr>
          <w:cantSplit w:val="true"/>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7"/>
              </w:rPr>
              <w:t>ii</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7"/>
              </w:rPr>
              <w:t>0.129</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7"/>
              </w:rPr>
              <w:t>0.128 to 0.130</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7"/>
              </w:rPr>
              <w:t>Least accurate</w:t>
            </w:r>
          </w:p>
        </w:tc>
      </w:tr>
    </w:tbl>
    <w:p>
      <w:pPr>
        <w:spacing w:after="0"/>
      </w:pPr>
    </w:p>
    <w:p>
      <w:pPr>
        <w:pStyle w:val="TableNote"/>
      </w:pPr>
      <w:r>
        <w:t>Table 4. EMMs averaged over metric and all factorial conditions.</w:t>
      </w:r>
    </w:p>
    <w:p>
      <w:pPr>
        <w:keepLines/>
      </w:pPr>
      <w:r>
        <w:t>The output does not print method EMMs within sigma, G, design block, or mean sample size. Therefore, the significant method by factor tests establish differential sensitivity but do not identify exact within-level rankings or crossover points. Methods iii-v are robust across all three metrics and globally; describing them as uniformly best at every factor level would require the corresponding within-factor EMMs and contrasts. Method ii is the least robust marginally, and methods i and ii are the clearest candidates for specialized behavior because their distances from the leading group vary most across metrics and conditions.</w:t>
      </w:r>
    </w:p>
    <w:p>
      <w:pPr>
        <w:pStyle w:val="Heading1"/>
      </w:pPr>
      <w:r>
        <w:t>4 Hierarchical Context and Random Effects</w:t>
      </w:r>
    </w:p>
    <w:p>
      <w:pPr>
        <w:keepLines/>
      </w:pPr>
      <w:r>
        <w:t>The simplex_id random-intercept variance was 0.00077489, with standard deviation 0.02784. Residual variance was 0.00607225, with standard deviation 0.07793. The resulting intraclass correlation coefficient is 0.00077489 / (0.00077489 + 0.00607225) = 0.113, so approximately 11.3% of conditional variance was attributable to systematic differences among simplex environments and 88.7% remained within simplexes at the observation level.</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376"/>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7"/>
              </w:rPr>
              <w:t>Variance component</w:t>
            </w:r>
          </w:p>
        </w:tc>
        <w:tc>
          <w:tcPr>
            <w:tcW w:type="dxa" w:w="1728"/>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7"/>
              </w:rPr>
              <w:t>Variance</w:t>
            </w:r>
          </w:p>
        </w:tc>
        <w:tc>
          <w:tcPr>
            <w:tcW w:type="dxa" w:w="1584"/>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7"/>
              </w:rPr>
              <w:t>SD</w:t>
            </w:r>
          </w:p>
        </w:tc>
        <w:tc>
          <w:tcPr>
            <w:tcW w:type="dxa" w:w="3312"/>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pPr>
              <w:spacing w:after="0"/>
              <w:jc w:val="center"/>
            </w:pPr>
            <w:r>
              <w:rPr>
                <w:b/>
                <w:color w:val="FFFFFF"/>
                <w:sz w:val="17"/>
              </w:rPr>
              <w:t>Context</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left"/>
            </w:pPr>
            <w:r>
              <w:rPr>
                <w:sz w:val="17"/>
              </w:rPr>
              <w:t>simplex_id intercept</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7"/>
              </w:rPr>
              <w:t>0.00077489</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7"/>
              </w:rPr>
              <w:t>0.02784</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tcPr>
          <w:p>
            <w:pPr>
              <w:spacing w:after="0"/>
              <w:jc w:val="center"/>
            </w:pPr>
            <w:r>
              <w:rPr>
                <w:sz w:val="17"/>
              </w:rPr>
              <w:t>11.3 percent of conditional variance</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left"/>
            </w:pPr>
            <w:r>
              <w:rPr>
                <w:sz w:val="17"/>
              </w:rPr>
              <w:t>Residual</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7"/>
              </w:rPr>
              <w:t>0.00607225</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7"/>
              </w:rPr>
              <w:t>0.07793</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85" w:type="dxa"/>
              <w:start w:w="90" w:type="dxa"/>
              <w:bottom w:w="85" w:type="dxa"/>
              <w:end w:w="90" w:type="dxa"/>
            </w:tcMar>
            <w:vAlign w:val="center"/>
            <w:shd w:fill="F2F6FA"/>
          </w:tcPr>
          <w:p>
            <w:pPr>
              <w:spacing w:after="0"/>
              <w:jc w:val="center"/>
            </w:pPr>
            <w:r>
              <w:rPr>
                <w:sz w:val="17"/>
              </w:rPr>
              <w:t>88.7 percent of conditional variance</w:t>
            </w:r>
          </w:p>
        </w:tc>
      </w:tr>
    </w:tbl>
    <w:p>
      <w:pPr>
        <w:spacing w:after="0"/>
      </w:pPr>
    </w:p>
    <w:p>
      <w:pPr>
        <w:pStyle w:val="TableNote"/>
      </w:pPr>
      <w:r>
        <w:t>Table 5. Random-effect variance decomposition.</w:t>
      </w:r>
    </w:p>
    <w:p>
      <w:pPr>
        <w:keepLines/>
      </w:pPr>
      <w:r>
        <w:t>The nonzero simplex component validates accounting for shared accuracy conditions within a simplex and prevents those clusters from being treated as fully independent. It also shows that average error shifts meaningfully across simulated compositions. However, a random intercept moves all observations from a simplex together; it does not allow method-specific slopes. A model with method random slopes within simplex_id, if estimable, would be needed to quantify whether the ranking itself varies across simplex environments.</w:t>
      </w:r>
    </w:p>
    <w:p>
      <w:pPr>
        <w:pStyle w:val="Heading1"/>
      </w:pPr>
      <w:r>
        <w:t>5 Proportion Specific Diagnostics</w:t>
      </w:r>
    </w:p>
    <w:p>
      <w:pPr>
        <w:keepLines/>
      </w:pPr>
      <w:r>
        <w:t>Estimated proportions lie on a bounded simplex. Near zero or one, sampling distributions become asymmetric and their variance depends strongly on the mean; errors for different components are also constrained by the sum-to-one relationship. These features can create heteroscedasticity and non-Gaussian residual tails even after inclusion of p1, p2, and a simplex random intercept. The significant p1 and p2 effects confirm that accuracy changes with simplex location, while their significant but small method interactions suggest limited method-specific sensitivity to composition geometry.</w:t>
      </w:r>
    </w:p>
    <w:p>
      <w:pPr>
        <w:keepLines/>
      </w:pPr>
      <w:r>
        <w:t>The log transformation of nonnegative accuracy measures is appropriate for compressing right-skewed errors, and log1p is especially useful when zero errors occur. Arcsine-square-root or logit transformations are designed primarily for individual proportions rather than aggregate RMSE, L1, or Linf distances. A logit also requires special handling of exact zeros and ones. Recommended checks include conditional residual-versus-fitted and scale-location plots, residual distributions by method and metric, variance patterns across simplex boundaries, and influence diagnostics. If heteroscedasticity persists, generalized least squares, metric-specific residual variances, robust clustered standard errors, or a mixed model with method random slopes by simplex would be appropriate sensitivity analyses.</w:t>
      </w:r>
    </w:p>
    <w:p>
      <w:pPr>
        <w:pStyle w:val="Heading1"/>
      </w:pPr>
      <w:r>
        <w:t>6 Summary of LMM ANOVA and Emmeans Results</w:t>
      </w:r>
    </w:p>
    <w:p>
      <w:pPr>
        <w:keepLines/>
      </w:pPr>
      <w:r>
        <w:t>The LMM found significant fixed effects of method and metric and a significant method by metric interaction. The interaction reflects quantitative differences in the size of method effects across RMSE, L1, and Linf, especially the larger separation under L1; it does not alter the ranking. Methods iii, iv, and v were statistically indistinguishable and consistently most accurate for all three metrics. Method i was significantly intermediate, and method ii was significantly least accurate.</w:t>
      </w:r>
    </w:p>
    <w:p>
      <w:pPr>
        <w:keepLines/>
      </w:pPr>
      <w:r>
        <w:t>The experimental-factor hierarchy was unambiguous: sigma had the largest effect, followed by G. Effects of p1, design block, mean sample size, and p2 were significant but substantially smaller, whereas theta_true was nonsignificant and least influential. Relative method performance varied most strongly with sigma and G, followed by mean sample size and design block. Method differences across theta_true were not supported. The random simplex intercept captured 11.3% of conditional variance, confirming meaningful environmental heterogeneity but not demonstrating method-specific rank instability.</w:t>
      </w:r>
    </w:p>
    <w:p>
      <w:pPr>
        <w:keepLines/>
      </w:pPr>
      <w:r>
        <w:t>Overall, methods iii-v constitute the best-supported robust group across error definitions and across the marginal factorial design. Method i is a viable but less accurate intermediate method. Method ii has the weakest global accuracy and remains a candidate for condition-sensitive specialization. Exact claims about robustness at every factor level require within-factor EMMs, which were not included in the supplied output; the present evidence supports robustness across metrics and on average across experimental conditions.</w:t>
      </w:r>
    </w:p>
    <w:sectPr w:rsidR="00FC693F" w:rsidRPr="0006063C" w:rsidSect="00034616">
      <w:footerReference w:type="default" r:id="rId9"/>
      <w:pgSz w:w="12240" w:h="15840"/>
      <w:pgMar w:top="936"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after="140"/>
    </w:pPr>
    <w:rPr>
      <w:rFonts w:ascii="Aptos" w:hAnsi="Aptos"/>
      <w:i/>
      <w:color w:val="46464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Linear Mixed Effects Analysis of Estimation Accuracy</dc:title>
  <dc:subject>LMM Type III ANOVA and estimated marginal means for methods i through v</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