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Pairwise and Factorial Multivariate Analysis of Composition Estimation Accuracy</w:t>
      </w:r>
    </w:p>
    <w:p>
      <w:pPr>
        <w:spacing w:after="120"/>
        <w:jc w:val="center"/>
      </w:pPr>
      <w:r>
        <w:rPr>
          <w:b/>
          <w:color w:val="464646"/>
          <w:sz w:val="24"/>
        </w:rPr>
        <w:t>Pillai tests, factorial sensitivity, and log-ratio effect sizes</w:t>
      </w:r>
    </w:p>
    <w:p>
      <w:pPr>
        <w:spacing w:after="180"/>
        <w:jc w:val="center"/>
      </w:pPr>
      <w:r>
        <w:rPr>
          <w:i/>
          <w:sz w:val="21"/>
        </w:rPr>
        <w:t>Analysis of results-code-C1-run3.txt and results-code-C2-run2.txt</w:t>
      </w:r>
    </w:p>
    <w:p>
      <w:r>
        <w:t>This memorandum evaluates five composition-likelihood estimators using RMSE, L1, and Linf as a joint accuracy profile. Pairwise intercept-only MANOVAs establish a consistent hierarchy: method iii has the lowest error, methods iv and v are close alternatives, method i is intermediate, and method ii has the highest error. The strongest practical separations occur between methods iii-v and method ii, whereas the statistically detectable advantages of method iii over iv and v are only about one percent.</w:t>
      </w:r>
    </w:p>
    <w:p>
      <w:r>
        <w:t>The factorial analyses show that noise level (sigma) and group size (G) are the main drivers of performance-gap instability, particularly in comparisons involving method i. Mean sample size and sampling design block also alter several pairwise gaps. Theta is generally weak, while p1 and p2 mainly affect fine distinctions among the leading methods. Across all analyses, RMSE, L1, and Linf behave remarkably similarly; there is no evidence that an otherwise acceptable method is uniquely vulnerable under Linf.</w:t>
      </w:r>
    </w:p>
    <w:p>
      <w:pPr>
        <w:pStyle w:val="Heading1"/>
      </w:pPr>
      <w:r>
        <w:t>Analysis Scope and Statistical Interpretation</w:t>
      </w:r>
    </w:p>
    <w:p>
      <w:r>
        <w:t>Code C1 analyzed 3,159 complete paired simulation rows per method contrast. For each of the ten method pairs, a one-sample Hotelling T-squared test was represented as an intercept-only MANOVA on the three-dimensional vector of log-error differences. Pillai's trace tests whether the mean vector is zero. Code C2 then modeled each pairwise difference as a function of design block, G, theta_true, sigma, mean_nsamp, p1, and p2, reporting factorial Pillai tests and separate ANOVAs for RMSE, L1, and Linf.</w:t>
      </w:r>
    </w:p>
    <w:p>
      <w:r>
        <w:t>The transformation was log(error + 0.000001). For a target-minus-reference contrast d, exp(d) is the ratio (target error + epsilon)/(reference error + epsilon), and 100[exp(d) - 1] is the percentage change in error. Negative differences favor the target. Because epsilon is negligible except when errors approach zero, these quantities are interpreted as approximate relative-error changes. Pillai's trace is preferred here for its robustness to departures from multivariate normality, but the tests still assume independent paired simulation units and a correctly specified factorial mean structure.</w:t>
      </w:r>
    </w:p>
    <w:p>
      <w:r>
        <w:t>The output does not report multiplicity adjustment across the ten C1 MANOVAs or the many C2 factor tests. Conclusions based on extremely small p values are insensitive to conventional adjustment, but isolated nominal results near 0.05 should be treated as exploratory.</w:t>
      </w:r>
    </w:p>
    <w:p>
      <w:pPr>
        <w:pStyle w:val="Heading1"/>
      </w:pPr>
      <w:r>
        <w:t>1 Executive Summary of Methodological Hierarchy</w:t>
      </w:r>
    </w:p>
    <w:p>
      <w:r>
        <w:t>Every global comparison except v versus iv rejected equality of the three-metric mean vector. Method iii outperformed every competitor. Methods iv and v both outperformed methods i and ii; method i outperformed method ii. The v-versus-iv contrast was not significant, Pillai = 0.00223, F(3, 3156) = 2.35, p = 0.0703. Thus, the supported leaderboard is iii, followed by an essentially tied iv-v tier, then i, then ii.</w:t>
      </w:r>
    </w:p>
    <w:tbl>
      <w:tblPr>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val="true"/>
        </w:trPr>
        <w:tc>
          <w:tcPr>
            <w:tcW w:type="dxa" w:w="1181"/>
            <w:shd w:fill="24557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b/>
                <w:color w:val="FFFFFF"/>
                <w:sz w:val="15"/>
              </w:rPr>
              <w:t>Contrast</w:t>
            </w:r>
          </w:p>
        </w:tc>
        <w:tc>
          <w:tcPr>
            <w:tcW w:type="dxa" w:w="1037"/>
            <w:shd w:fill="24557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b/>
                <w:color w:val="FFFFFF"/>
                <w:sz w:val="15"/>
              </w:rPr>
              <w:t>Pillai</w:t>
            </w:r>
          </w:p>
        </w:tc>
        <w:tc>
          <w:tcPr>
            <w:tcW w:type="dxa" w:w="1037"/>
            <w:shd w:fill="24557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b/>
                <w:color w:val="FFFFFF"/>
                <w:sz w:val="15"/>
              </w:rPr>
              <w:t>F</w:t>
            </w:r>
          </w:p>
        </w:tc>
        <w:tc>
          <w:tcPr>
            <w:tcW w:type="dxa" w:w="1368"/>
            <w:shd w:fill="24557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b/>
                <w:color w:val="FFFFFF"/>
                <w:sz w:val="15"/>
              </w:rPr>
              <w:t>p value</w:t>
            </w:r>
          </w:p>
        </w:tc>
        <w:tc>
          <w:tcPr>
            <w:tcW w:type="dxa" w:w="1944"/>
            <w:shd w:fill="24557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b/>
                <w:color w:val="FFFFFF"/>
                <w:sz w:val="15"/>
              </w:rPr>
              <w:t>Error change percent</w:t>
            </w:r>
          </w:p>
        </w:tc>
        <w:tc>
          <w:tcPr>
            <w:tcW w:type="dxa" w:w="2088"/>
            <w:shd w:fill="24557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b/>
                <w:color w:val="FFFFFF"/>
                <w:sz w:val="15"/>
              </w:rPr>
              <w:t>Conclusion</w:t>
            </w:r>
          </w:p>
        </w:tc>
      </w:tr>
      <w:tr>
        <w:tc>
          <w:tcPr>
            <w:tcW w:type="dxa" w:w="1181"/>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5"/>
              </w:rPr>
              <w:t>ii - i</w:t>
            </w:r>
          </w:p>
        </w:tc>
        <w:tc>
          <w:tcPr>
            <w:tcW w:type="dxa" w:w="1037"/>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0.10835</w:t>
            </w:r>
          </w:p>
        </w:tc>
        <w:tc>
          <w:tcPr>
            <w:tcW w:type="dxa" w:w="1037"/>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127.84</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3.77e-78</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+15.43 to +15.63</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i superior</w:t>
            </w:r>
          </w:p>
        </w:tc>
      </w:tr>
      <w:tr>
        <w:tc>
          <w:tcPr>
            <w:tcW w:type="dxa" w:w="1181"/>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5"/>
              </w:rPr>
              <w:t>iii - i</w:t>
            </w:r>
          </w:p>
        </w:tc>
        <w:tc>
          <w:tcPr>
            <w:tcW w:type="dxa" w:w="1037"/>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0.04502</w:t>
            </w:r>
          </w:p>
        </w:tc>
        <w:tc>
          <w:tcPr>
            <w:tcW w:type="dxa" w:w="1037"/>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49.59</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2.59e-31</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-6.43 to -6.51</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iii superior</w:t>
            </w:r>
          </w:p>
        </w:tc>
      </w:tr>
      <w:tr>
        <w:tc>
          <w:tcPr>
            <w:tcW w:type="dxa" w:w="1181"/>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5"/>
              </w:rPr>
              <w:t>iv - i</w:t>
            </w:r>
          </w:p>
        </w:tc>
        <w:tc>
          <w:tcPr>
            <w:tcW w:type="dxa" w:w="1037"/>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0.03354</w:t>
            </w:r>
          </w:p>
        </w:tc>
        <w:tc>
          <w:tcPr>
            <w:tcW w:type="dxa" w:w="1037"/>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36.51</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3.44e-23</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-5.39 to -5.52</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iv superior</w:t>
            </w:r>
          </w:p>
        </w:tc>
      </w:tr>
      <w:tr>
        <w:tc>
          <w:tcPr>
            <w:tcW w:type="dxa" w:w="1181"/>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5"/>
              </w:rPr>
              <w:t>v - i</w:t>
            </w:r>
          </w:p>
        </w:tc>
        <w:tc>
          <w:tcPr>
            <w:tcW w:type="dxa" w:w="1037"/>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0.03563</w:t>
            </w:r>
          </w:p>
        </w:tc>
        <w:tc>
          <w:tcPr>
            <w:tcW w:type="dxa" w:w="1037"/>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38.86</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1.18e-24</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-5.28 to -5.36</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v superior</w:t>
            </w:r>
          </w:p>
        </w:tc>
      </w:tr>
      <w:tr>
        <w:tc>
          <w:tcPr>
            <w:tcW w:type="dxa" w:w="1181"/>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5"/>
              </w:rPr>
              <w:t>iii - ii</w:t>
            </w:r>
          </w:p>
        </w:tc>
        <w:tc>
          <w:tcPr>
            <w:tcW w:type="dxa" w:w="1037"/>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0.26288</w:t>
            </w:r>
          </w:p>
        </w:tc>
        <w:tc>
          <w:tcPr>
            <w:tcW w:type="dxa" w:w="1037"/>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375.19</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2.15e-208</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-19.01 to -19.07</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iii superior</w:t>
            </w:r>
          </w:p>
        </w:tc>
      </w:tr>
      <w:tr>
        <w:tc>
          <w:tcPr>
            <w:tcW w:type="dxa" w:w="1181"/>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5"/>
              </w:rPr>
              <w:t>iv - ii</w:t>
            </w:r>
          </w:p>
        </w:tc>
        <w:tc>
          <w:tcPr>
            <w:tcW w:type="dxa" w:w="1037"/>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0.24991</w:t>
            </w:r>
          </w:p>
        </w:tc>
        <w:tc>
          <w:tcPr>
            <w:tcW w:type="dxa" w:w="1037"/>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350.50</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1.90e-196</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-18.13 to -18.17</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iv superior</w:t>
            </w:r>
          </w:p>
        </w:tc>
      </w:tr>
      <w:tr>
        <w:tc>
          <w:tcPr>
            <w:tcW w:type="dxa" w:w="1181"/>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5"/>
              </w:rPr>
              <w:t>v - ii</w:t>
            </w:r>
          </w:p>
        </w:tc>
        <w:tc>
          <w:tcPr>
            <w:tcW w:type="dxa" w:w="1037"/>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0.24670</w:t>
            </w:r>
          </w:p>
        </w:tc>
        <w:tc>
          <w:tcPr>
            <w:tcW w:type="dxa" w:w="1037"/>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344.52</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1.59e-193</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-18.00 to -18.08</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v superior</w:t>
            </w:r>
          </w:p>
        </w:tc>
      </w:tr>
      <w:tr>
        <w:tc>
          <w:tcPr>
            <w:tcW w:type="dxa" w:w="1181"/>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5"/>
              </w:rPr>
              <w:t>iv - iii</w:t>
            </w:r>
          </w:p>
        </w:tc>
        <w:tc>
          <w:tcPr>
            <w:tcW w:type="dxa" w:w="1037"/>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0.01472</w:t>
            </w:r>
          </w:p>
        </w:tc>
        <w:tc>
          <w:tcPr>
            <w:tcW w:type="dxa" w:w="1037"/>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15.71</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3.84e-10</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+1.06 to +1.11</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iii superior; small</w:t>
            </w:r>
          </w:p>
        </w:tc>
      </w:tr>
      <w:tr>
        <w:tc>
          <w:tcPr>
            <w:tcW w:type="dxa" w:w="1181"/>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5"/>
              </w:rPr>
              <w:t>v - iii</w:t>
            </w:r>
          </w:p>
        </w:tc>
        <w:tc>
          <w:tcPr>
            <w:tcW w:type="dxa" w:w="1037"/>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0.00978</w:t>
            </w:r>
          </w:p>
        </w:tc>
        <w:tc>
          <w:tcPr>
            <w:tcW w:type="dxa" w:w="1037"/>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10.39</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8.39e-07</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+1.22 to +1.24</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iii superior; small</w:t>
            </w:r>
          </w:p>
        </w:tc>
      </w:tr>
      <w:tr>
        <w:tc>
          <w:tcPr>
            <w:tcW w:type="dxa" w:w="1181"/>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5"/>
              </w:rPr>
              <w:t>v - iv</w:t>
            </w:r>
          </w:p>
        </w:tc>
        <w:tc>
          <w:tcPr>
            <w:tcW w:type="dxa" w:w="1037"/>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0.00223</w:t>
            </w:r>
          </w:p>
        </w:tc>
        <w:tc>
          <w:tcPr>
            <w:tcW w:type="dxa" w:w="1037"/>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2.35</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0.0703</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+0.11 to +0.18</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No clear difference</w:t>
            </w:r>
          </w:p>
        </w:tc>
      </w:tr>
    </w:tbl>
    <w:p>
      <w:pPr>
        <w:spacing w:after="0"/>
      </w:pPr>
    </w:p>
    <w:p>
      <w:pPr>
        <w:pStyle w:val="TableNote"/>
      </w:pPr>
      <w:r>
        <w:t>Table 1. Pairwise multivariate tests. Positive changes indicate greater target-method error; negative changes indicate lower target-method error. All F tests have 3 and 3156 degrees of freedom.</w:t>
      </w:r>
    </w:p>
    <w:p>
      <w:r>
        <w:t>Statistical evidence and practical magnitude should be distinguished. The comparisons of iii-v with method ii are overwhelming and practically important: error is approximately 18.0-19.1 percent lower. Relative to method i, methods iii-v reduce error by approximately 5.3-6.5 percent. Method i's own error is about 13.4-13.5 percent lower than method ii's after expressing the ii/i ratio in the reverse direction. By contrast, method iii improves on iv and v by only about 1.0-1.2 percent. Those differences are highly significant because the paired design is large and precise, but they are modest for applied selection. Methods iv and v differ by less than 0.2 percent and cannot be distinguished globally.</w:t>
      </w:r>
    </w:p>
    <w:p>
      <w:pPr>
        <w:pStyle w:val="Heading1"/>
      </w:pPr>
      <w:r>
        <w:t>2 Factorial Sensitivity and Robustness Analysis</w:t>
      </w:r>
    </w:p>
    <w:p>
      <w:r>
        <w:t>Sigma and G are the dominant sources of instability in pairwise performance. For contrasts with method i, maximum multivariate effects reached Pillai = 0.0645 for sigma and 0.0625 for G. Their univariate effects were also the largest: for v versus i, F was approximately 106 for sigma and 104 for G for each metric, corresponding to approximate partial eta squared values near 0.063 and 0.062. For iv versus i, sigma reached F = 101.9-103.6 and G reached F = 74.4-74.8. These results show that the relative advantage of the leading methods over method i is not constant across noise and group-size settings.</w:t>
      </w:r>
    </w:p>
    <w:p>
      <w:r>
        <w:t>Mean sample size becomes especially important when the leading methods are compared with method ii. It was the largest multivariate factor for iii versus ii, iv versus ii, and v versus ii, with Pillai values of 0.0156, 0.0171, and 0.0101, respectively. Design block was significant in seven of ten multivariate contrasts and had its largest effects for iii-v versus i. Thus, sampling intensity and the distributional mechanism matter, but their effects are generally smaller than sigma and G for the principal method-i contrasts.</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656"/>
            <w:shd w:fill="24557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b/>
                <w:color w:val="FFFFFF"/>
                <w:sz w:val="15"/>
              </w:rPr>
              <w:t>Factor</w:t>
            </w:r>
          </w:p>
        </w:tc>
        <w:tc>
          <w:tcPr>
            <w:tcW w:type="dxa" w:w="1512"/>
            <w:shd w:fill="24557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b/>
                <w:color w:val="FFFFFF"/>
                <w:sz w:val="15"/>
              </w:rPr>
              <w:t>Significant contrasts</w:t>
            </w:r>
          </w:p>
        </w:tc>
        <w:tc>
          <w:tcPr>
            <w:tcW w:type="dxa" w:w="1368"/>
            <w:shd w:fill="24557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b/>
                <w:color w:val="FFFFFF"/>
                <w:sz w:val="15"/>
              </w:rPr>
              <w:t>Maximum Pillai</w:t>
            </w:r>
          </w:p>
        </w:tc>
        <w:tc>
          <w:tcPr>
            <w:tcW w:type="dxa" w:w="3816"/>
            <w:shd w:fill="24557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b/>
                <w:color w:val="FFFFFF"/>
                <w:sz w:val="15"/>
              </w:rPr>
              <w:t>Pattern</w:t>
            </w:r>
          </w:p>
        </w:tc>
        <w:tc>
          <w:tcPr>
            <w:tcW w:type="dxa" w:w="1224"/>
            <w:shd w:fill="24557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b/>
                <w:color w:val="FFFFFF"/>
                <w:sz w:val="15"/>
              </w:rPr>
              <w:t>Influence</w:t>
            </w:r>
          </w:p>
        </w:tc>
      </w:tr>
      <w:t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5"/>
              </w:rPr>
              <w:t>Sigma</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9 of 10</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0.06452</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5"/>
              </w:rPr>
              <w:t>Largest effects for iv/v versus i; also separates iii and iv</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Primary</w:t>
            </w:r>
          </w:p>
        </w:tc>
      </w:tr>
      <w:t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5"/>
              </w:rPr>
              <w:t>G</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8 of 10</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0.06248</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5"/>
              </w:rPr>
              <w:t>Large for leaders versus i; governs fine iii/iv/v ordering</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Primary</w:t>
            </w:r>
          </w:p>
        </w:tc>
      </w:tr>
      <w:t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5"/>
              </w:rPr>
              <w:t>Mean sample size</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9 of 10</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0.02275</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5"/>
              </w:rPr>
              <w:t>Largest driver for leaders versus ii</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Secondary</w:t>
            </w:r>
          </w:p>
        </w:tc>
      </w:tr>
      <w:t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5"/>
              </w:rPr>
              <w:t>Design block</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7 of 10</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0.02402</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5"/>
              </w:rPr>
              <w:t>Moderate for iii-v versus i and leaders versus ii</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Secondary</w:t>
            </w:r>
          </w:p>
        </w:tc>
      </w:tr>
      <w:t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5"/>
              </w:rPr>
              <w:t>p1</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5 of 10</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0.01344</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5"/>
              </w:rPr>
              <w:t>Localized; strongest for iv versus iii and v versus iv</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Tertiary</w:t>
            </w:r>
          </w:p>
        </w:tc>
      </w:tr>
      <w:t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5"/>
              </w:rPr>
              <w:t>p2</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3 of 10</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0.00877</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5"/>
              </w:rPr>
              <w:t>Localized to contrasts involving v</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Tertiary</w:t>
            </w:r>
          </w:p>
        </w:tc>
      </w:tr>
      <w:t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5"/>
              </w:rPr>
              <w:t>theta_true</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2 of 10</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0.00465</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5"/>
              </w:rPr>
              <w:t>Small and inconsistent; weakest overall</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Minimal</w:t>
            </w:r>
          </w:p>
        </w:tc>
      </w:tr>
    </w:tbl>
    <w:p>
      <w:pPr>
        <w:spacing w:after="0"/>
      </w:pPr>
    </w:p>
    <w:p>
      <w:pPr>
        <w:pStyle w:val="TableNote"/>
      </w:pPr>
      <w:r>
        <w:t>Table 2. Cross-contrast sensitivity summary using nominal alpha = 0.05. Counts summarize the ten pairwise factorial MANOVAs; Pillai values quantify multivariate association within a contrast, not a common variance percentage across contrasts.</w:t>
      </w:r>
    </w:p>
    <w:p>
      <w:pPr>
        <w:pStyle w:val="Heading2"/>
      </w:pPr>
      <w:r>
        <w:t>Interactions and the Possibility of Niche Performance</w:t>
      </w:r>
    </w:p>
    <w:p>
      <w:r>
        <w:t>The leading tier is not perfectly exchangeable across conditions. Method iii versus iv varied with sigma, mean sample size, and p1; method iii versus v varied with G, sigma, mean sample size, and p2; and method iv versus v varied with design block, G, theta_true, mean sample size, p1, and p2. The corresponding Pillai values were small, however, generally below 0.014 except for sigma in iv versus iii (0.0197). This pattern indicates small condition-dependent changes within the leading tier rather than broad instability of the hierarchy.</w:t>
      </w:r>
    </w:p>
    <w:p>
      <w:r>
        <w:t>A significant factorial effect on a pairwise difference does not by itself demonstrate a rank reversal. Establishing a niche condition requires factor-level estimated differences, confidence intervals, and preferably simultaneous contrasts showing that the sign changes. Those quantities are not printed in C2. Accordingly, the analyses support differential sensitivity but do not establish any condition in which method i or ii outperforms methods iii-v. Nor can they prove that iii is best in every individual cell, even though its average advantage and the consistency across metrics make such reversals unlikely to be practically large.</w:t>
      </w:r>
    </w:p>
    <w:p>
      <w:pPr>
        <w:pStyle w:val="Heading1"/>
      </w:pPr>
      <w:r>
        <w:t>3 Multivariate and Univariate Divergence</w:t>
      </w:r>
    </w:p>
    <w:p>
      <w:r>
        <w:t>The multivariate and univariate results are unusually concordant. The mean log-differences within every pair are nearly identical for RMSE, L1, and Linf, and the factor-specific F statistics usually differ only slightly among metrics. For example, the v-versus-i F statistics were 104.03, 104.00, and 103.98 for G and 106.29, 105.60, and 105.51 for sigma. This agreement shows that the method hierarchy is not an artifact of a single error definition.</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224"/>
            <w:shd w:fill="24557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b/>
                <w:color w:val="FFFFFF"/>
                <w:sz w:val="15"/>
              </w:rPr>
              <w:t>Contrast</w:t>
            </w:r>
          </w:p>
        </w:tc>
        <w:tc>
          <w:tcPr>
            <w:tcW w:type="dxa" w:w="1512"/>
            <w:shd w:fill="24557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b/>
                <w:color w:val="FFFFFF"/>
                <w:sz w:val="15"/>
              </w:rPr>
              <w:t>Factor</w:t>
            </w:r>
          </w:p>
        </w:tc>
        <w:tc>
          <w:tcPr>
            <w:tcW w:type="dxa" w:w="1728"/>
            <w:shd w:fill="24557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b/>
                <w:color w:val="FFFFFF"/>
                <w:sz w:val="15"/>
              </w:rPr>
              <w:t>Multivariate</w:t>
            </w:r>
          </w:p>
        </w:tc>
        <w:tc>
          <w:tcPr>
            <w:tcW w:type="dxa" w:w="2232"/>
            <w:shd w:fill="24557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b/>
                <w:color w:val="FFFFFF"/>
                <w:sz w:val="15"/>
              </w:rPr>
              <w:t>Univariate</w:t>
            </w:r>
          </w:p>
        </w:tc>
        <w:tc>
          <w:tcPr>
            <w:tcW w:type="dxa" w:w="2880"/>
            <w:shd w:fill="24557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b/>
                <w:color w:val="FFFFFF"/>
                <w:sz w:val="15"/>
              </w:rPr>
              <w:t>Interpretation</w:t>
            </w:r>
          </w:p>
        </w:tc>
      </w:tr>
      <w:tr>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5"/>
              </w:rPr>
              <w:t>ii - i</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5"/>
              </w:rPr>
              <w:t>p1</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MANOVA p = 0.039</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All univariate p = 0.486-0.578</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5"/>
              </w:rPr>
              <w:t>Joint covariance pattern only</w:t>
            </w:r>
          </w:p>
        </w:tc>
      </w:tr>
      <w:tr>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5"/>
              </w:rPr>
              <w:t>iv - i</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5"/>
              </w:rPr>
              <w:t>theta_true</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MANOVA p = 0.023</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All univariate p = 0.348-0.442</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5"/>
              </w:rPr>
              <w:t>Weak joint pattern</w:t>
            </w:r>
          </w:p>
        </w:tc>
      </w:tr>
      <w:tr>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5"/>
              </w:rPr>
              <w:t>iv - i</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5"/>
              </w:rPr>
              <w:t>p1</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MANOVA p = 0.00040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All univariate p = 0.466-0.660</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5"/>
              </w:rPr>
              <w:t>Multivariate direction/covariance</w:t>
            </w:r>
          </w:p>
        </w:tc>
      </w:tr>
      <w:tr>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5"/>
              </w:rPr>
              <w:t>iv - iii</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5"/>
              </w:rPr>
              <w:t>mean_nsamp</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MANOVA p = 0.013</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All univariate p = 0.134-0.261</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5"/>
              </w:rPr>
              <w:t>Small joint pattern</w:t>
            </w:r>
          </w:p>
        </w:tc>
      </w:tr>
      <w:tr>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5"/>
              </w:rPr>
              <w:t>v - iii</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5"/>
              </w:rPr>
              <w:t>design block</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MANOVA p = 0.133</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All univariate p = 0.011-0.013</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5"/>
              </w:rPr>
              <w:t>Separate weak shifts; joint test NS</w:t>
            </w:r>
          </w:p>
        </w:tc>
      </w:tr>
      <w:tr>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5"/>
              </w:rPr>
              <w:t>v - iii</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5"/>
              </w:rPr>
              <w:t>theta_true</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MANOVA p = 0.211</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All univariate p = 0.045-0.046</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5"/>
              </w:rPr>
              <w:t>Borderline; multiplicity-sensitive</w:t>
            </w:r>
          </w:p>
        </w:tc>
      </w:tr>
      <w:tr>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5"/>
              </w:rPr>
              <w:t>v - iv</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5"/>
              </w:rPr>
              <w:t>theta_true</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MANOVA p = 0.030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Univariate p = 0.064-0.136</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5"/>
              </w:rPr>
              <w:t>Weak joint pattern</w:t>
            </w:r>
          </w:p>
        </w:tc>
      </w:tr>
    </w:tbl>
    <w:p>
      <w:pPr>
        <w:spacing w:after="0"/>
      </w:pPr>
    </w:p>
    <w:p>
      <w:pPr>
        <w:pStyle w:val="TableNote"/>
      </w:pPr>
      <w:r>
        <w:t>Table 3. Selected multivariate-univariate divergences. NS denotes not significant at the nominal 0.05 level.</w:t>
      </w:r>
    </w:p>
    <w:p>
      <w:r>
        <w:t>These divergences are expected because Pillai's test evaluates the joint vector and its covariance, whereas each ANOVA ignores cross-metric covariance. They should not be read as contradictions. Several involve p values near 0.05 and would be vulnerable to correction for the large number of tests. The broad conclusions for sigma, G, mean sample size, and design block are supported simultaneously by both forms of analysis.</w:t>
      </w:r>
    </w:p>
    <w:p>
      <w:pPr>
        <w:pStyle w:val="Heading2"/>
      </w:pPr>
      <w:r>
        <w:t>Worst Case Error Diagnostics</w:t>
      </w:r>
    </w:p>
    <w:p>
      <w:r>
        <w:t>No method appears particularly prone to worst-case Linf error while retaining acceptable RMSE performance. Across C1, the RMSE, L1, and Linf percentage changes differ by less than about 0.2 percentage point within every method pair. Across C2, Linf factor tests track L1 almost exactly and usually track RMSE closely. Method ii is inferior under Linf, but it is similarly inferior under RMSE and L1; this is general inefficiency, not a Linf-specific failure. Conversely, the approximately one-percent advantage of method iii over iv and v is visible under all three metrics.</w:t>
      </w:r>
    </w:p>
    <w:p>
      <w:pPr>
        <w:pStyle w:val="Heading1"/>
      </w:pPr>
      <w:r>
        <w:t>4 Inference on Relative Efficiency</w:t>
      </w:r>
    </w:p>
    <w:p>
      <w:r>
        <w:t>On the original error scale, method iii is the most efficient general-purpose estimator. Its error is approximately 6.4-6.5 percent lower than method i, approximately 19.0-19.1 percent lower than method ii, approximately 1.0-1.1 percent lower than method iv, and approximately 1.2-1.24 percent lower than method v. Methods iv and v are also strong: each improves on method i by roughly 5.3-5.5 percent and on method ii by roughly 18.0-18.2 percent. Method i remains materially preferable to method ii but is consistently behind the leading tier.</w:t>
      </w:r>
    </w:p>
    <w:p>
      <w:r>
        <w:t>Pillai values reinforce this practical hierarchy. The largest global effects occur for iii, iv, and v versus ii (0.247-0.263), followed by ii versus i (0.108). Contrasts of iii-v with i are smaller (0.034-0.045), and comparisons within the leading tier are very small (0.002-0.015). Thus, the main methodological decision is to avoid method ii and, where feasible, method i; choosing among iii, iv, and v is a finer optimization problem.</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936"/>
            <w:shd w:fill="24557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b/>
                <w:color w:val="FFFFFF"/>
                <w:sz w:val="15"/>
              </w:rPr>
              <w:t>Method</w:t>
            </w:r>
          </w:p>
        </w:tc>
        <w:tc>
          <w:tcPr>
            <w:tcW w:type="dxa" w:w="936"/>
            <w:shd w:fill="24557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b/>
                <w:color w:val="FFFFFF"/>
                <w:sz w:val="15"/>
              </w:rPr>
              <w:t>Rank</w:t>
            </w:r>
          </w:p>
        </w:tc>
        <w:tc>
          <w:tcPr>
            <w:tcW w:type="dxa" w:w="2520"/>
            <w:shd w:fill="24557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b/>
                <w:color w:val="FFFFFF"/>
                <w:sz w:val="15"/>
              </w:rPr>
              <w:t>Global relative accuracy</w:t>
            </w:r>
          </w:p>
        </w:tc>
        <w:tc>
          <w:tcPr>
            <w:tcW w:type="dxa" w:w="3672"/>
            <w:shd w:fill="24557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b/>
                <w:color w:val="FFFFFF"/>
                <w:sz w:val="15"/>
              </w:rPr>
              <w:t>Robustness evidence</w:t>
            </w:r>
          </w:p>
        </w:tc>
        <w:tc>
          <w:tcPr>
            <w:tcW w:type="dxa" w:w="1656"/>
            <w:shd w:fill="24557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b/>
                <w:color w:val="FFFFFF"/>
                <w:sz w:val="15"/>
              </w:rPr>
              <w:t>Recommendation</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iii</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1</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5"/>
              </w:rPr>
              <w:t>Lowest on all three metrics</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5"/>
              </w:rPr>
              <w:t>Best overall; small sensitivity within leading tier</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Recommended default</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iv</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2 tie</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5"/>
              </w:rPr>
              <w:t>About 1.1 percent above iii</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5"/>
              </w:rPr>
              <w:t>Near-equivalent to v; sigma and p1 affect gap with iii</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Strong alternative</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v</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2 tie</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5"/>
              </w:rPr>
              <w:t>About 1.2 percent above iii</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5"/>
              </w:rPr>
              <w:t>Near-equivalent to iv; G and p2 affect fine ordering</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Strong alternative</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i</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4</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5"/>
              </w:rPr>
              <w:t>About 5.3-6.5 percent above leaders</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5"/>
              </w:rPr>
              <w:t>Gap strongly affected by sigma and G</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5"/>
              </w:rPr>
              <w:t>Intermediate</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ii</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5</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5"/>
              </w:rPr>
              <w:t>About 18.0-19.1 percent above leaders</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5"/>
              </w:rPr>
              <w:t>Consistently worst; sample size affects gap</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5"/>
              </w:rPr>
              <w:t>Not preferred</w:t>
            </w:r>
          </w:p>
        </w:tc>
      </w:tr>
    </w:tbl>
    <w:p>
      <w:pPr>
        <w:spacing w:after="0"/>
      </w:pPr>
    </w:p>
    <w:p>
      <w:pPr>
        <w:pStyle w:val="TableNote"/>
      </w:pPr>
      <w:r>
        <w:t>Table 4. Integrated recommendation based on C1 global effects and C2 factorial sensitivity.</w:t>
      </w:r>
    </w:p>
    <w:p>
      <w:pPr>
        <w:pStyle w:val="Heading2"/>
      </w:pPr>
      <w:r>
        <w:t>Proportion Specific and Model Diagnostics</w:t>
      </w:r>
    </w:p>
    <w:p>
      <w:r>
        <w:t>Composition vectors are bounded by zero and one and constrained to sum to one. Near simplex boundaries, sampling distributions can be asymmetric, component variances depend on the mean, and errors among components are necessarily dependent. Logging the nonnegative aggregate errors stabilizes right-skew and makes pairwise effects interpretable as ratios, but it does not guarantee homoscedastic or Gaussian residuals. The epsilon adjustment also has increasing influence when an error is extremely close to zero.</w:t>
      </w:r>
    </w:p>
    <w:p>
      <w:r>
        <w:t>Recommended diagnostics include residual-versus-fitted and scale-location plots by contrast and metric, residual distributions by design cell, leverage checks, and sensitivity to epsilon. Because the three metrics are strongly related, covariance diagnostics and permutation or cluster-robust versions of the paired tests would provide useful confirmation. Factor-level estimated marginal contrasts with simultaneous confidence intervals are required to evaluate crossover claims. If heteroscedasticity remains substantial, generalized least squares, metric-specific variance functions, robust covariance estimators, or a hierarchical model for paired differences should be considered.</w:t>
      </w:r>
    </w:p>
    <w:p>
      <w:pPr>
        <w:pStyle w:val="Heading1"/>
      </w:pPr>
      <w:r>
        <w:t>Formal Conclusion</w:t>
      </w:r>
    </w:p>
    <w:p>
      <w:r>
        <w:t>The joint evidence supports method iii as the most accurate and broadly robust estimator. Its advantage is consistent across RMSE, L1, and Linf. Methods iv and v form a competitive second tier, with errors only about one percent above iii and no significant difference from each other. Method i is intermediate, whereas method ii is decisively least accurate. Sigma and G are the principal drivers of performance-gap instability; mean sample size and design block are secondary, p1 and p2 affect selected fine comparisons, and theta_true is weakest. The close agreement among metrics provides no evidence of a hidden Linf weakness. Method iii is therefore the default recommendation on accuracy grounds, with iv or v defensible when numerical stability, computation, or implementation simplicity outweigh the small error difference.</w:t>
      </w:r>
    </w:p>
    <w:sectPr w:rsidR="00FC693F" w:rsidRPr="0006063C" w:rsidSect="00034616">
      <w:footerReference w:type="default" r:id="rId9"/>
      <w:pgSz w:w="12240" w:h="15840"/>
      <w:pgMar w:top="835"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35"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0"/>
      <w:contextualSpacing/>
    </w:pPr>
    <w:rPr>
      <w:rFonts w:asciiTheme="majorHAnsi" w:eastAsiaTheme="majorEastAsia" w:hAnsiTheme="majorHAnsi" w:cstheme="majorBidi" w:ascii="Aptos Display" w:hAnsi="Aptos Display"/>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Note">
    <w:name w:val="Table Note"/>
    <w:pPr>
      <w:spacing w:after="140"/>
    </w:pPr>
    <w:rPr>
      <w:rFonts w:ascii="Aptos" w:hAnsi="Aptos"/>
      <w:i/>
      <w:color w:val="46464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Pairwise and Factorial Multivariate Analysis of Composition Estimation Accuracy</dc:title>
  <dc:subject>Formal statistical memorandum for Code C results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