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B99BD4" w14:textId="77777777" w:rsidR="009F561B" w:rsidRPr="009F561B" w:rsidRDefault="009F561B" w:rsidP="009F561B">
      <w:pPr>
        <w:rPr>
          <w:b/>
          <w:bCs/>
        </w:rPr>
      </w:pPr>
      <w:r w:rsidRPr="009F561B">
        <w:rPr>
          <w:b/>
          <w:bCs/>
        </w:rPr>
        <w:t>Recommendation</w:t>
      </w:r>
    </w:p>
    <w:p w14:paraId="5D9BE28A" w14:textId="77777777" w:rsidR="009F561B" w:rsidRPr="009F561B" w:rsidRDefault="009F561B" w:rsidP="009F561B">
      <w:r w:rsidRPr="009F561B">
        <w:t xml:space="preserve">There is no universally optimal sampling percentage. For a dataset of roughly 112 million rows, however, a </w:t>
      </w:r>
      <w:r w:rsidRPr="009F561B">
        <w:rPr>
          <w:b/>
          <w:bCs/>
        </w:rPr>
        <w:t>1% stratified sample</w:t>
      </w:r>
      <w:r w:rsidRPr="009F561B">
        <w:t xml:space="preserve"> is a reasonable initial choice—about 1.12 million rows—provided the sampling unit and strata are defined correctly.</w:t>
      </w:r>
    </w:p>
    <w:p w14:paraId="404EAFC2" w14:textId="77777777" w:rsidR="009F561B" w:rsidRPr="009F561B" w:rsidRDefault="009F561B" w:rsidP="009F561B">
      <w:r w:rsidRPr="009F561B">
        <w:t xml:space="preserve">I would evaluate </w:t>
      </w:r>
      <w:r w:rsidRPr="009F561B">
        <w:rPr>
          <w:b/>
          <w:bCs/>
        </w:rPr>
        <w:t>0.25%, 0.5%, 1%, and 2%</w:t>
      </w:r>
      <w:r w:rsidRPr="009F561B">
        <w:t xml:space="preserve"> samples and select the smallest percentage at which the substantive results stabilize. In many large simulation datasets, 0.5–1% is ample; 2% provides a conservative fallback.</w:t>
      </w:r>
    </w:p>
    <w:p w14:paraId="25B98756" w14:textId="77777777" w:rsidR="009F561B" w:rsidRPr="009F561B" w:rsidRDefault="009F561B" w:rsidP="009F561B">
      <w:r w:rsidRPr="009F561B">
        <w:t xml:space="preserve">The more important issue is not the </w:t>
      </w:r>
      <w:proofErr w:type="gramStart"/>
      <w:r w:rsidRPr="009F561B">
        <w:t>percentage</w:t>
      </w:r>
      <w:proofErr w:type="gramEnd"/>
      <w:r w:rsidRPr="009F561B">
        <w:t xml:space="preserve"> but </w:t>
      </w:r>
      <w:r w:rsidRPr="009F561B">
        <w:rPr>
          <w:b/>
          <w:bCs/>
        </w:rPr>
        <w:t>which units are sampled</w:t>
      </w:r>
      <w:r w:rsidRPr="009F561B">
        <w:t>.</w:t>
      </w:r>
    </w:p>
    <w:p w14:paraId="5989AA42" w14:textId="77777777" w:rsidR="009F561B" w:rsidRPr="009F561B" w:rsidRDefault="009F561B" w:rsidP="009F561B">
      <w:pPr>
        <w:rPr>
          <w:b/>
          <w:bCs/>
        </w:rPr>
      </w:pPr>
      <w:r w:rsidRPr="009F561B">
        <w:rPr>
          <w:b/>
          <w:bCs/>
        </w:rPr>
        <w:t>Recommended design for the simplex experiment</w:t>
      </w:r>
    </w:p>
    <w:p w14:paraId="115592C7" w14:textId="77777777" w:rsidR="009F561B" w:rsidRPr="009F561B" w:rsidRDefault="009F561B" w:rsidP="009F561B">
      <w:r w:rsidRPr="009F561B">
        <w:t>Do not independently sample individual long-format rows. Instead:</w:t>
      </w:r>
    </w:p>
    <w:p w14:paraId="1AEC85E1" w14:textId="77777777" w:rsidR="009F561B" w:rsidRPr="009F561B" w:rsidRDefault="009F561B" w:rsidP="009F561B">
      <w:pPr>
        <w:numPr>
          <w:ilvl w:val="0"/>
          <w:numId w:val="1"/>
        </w:numPr>
      </w:pPr>
      <w:r w:rsidRPr="009F561B">
        <w:t>Define the sampling unit as a complete simulation replicate or fitted composition.</w:t>
      </w:r>
    </w:p>
    <w:p w14:paraId="7ED8DB4E" w14:textId="77777777" w:rsidR="009F561B" w:rsidRPr="009F561B" w:rsidRDefault="009F561B" w:rsidP="009F561B">
      <w:pPr>
        <w:numPr>
          <w:ilvl w:val="0"/>
          <w:numId w:val="1"/>
        </w:numPr>
      </w:pPr>
      <w:r w:rsidRPr="009F561B">
        <w:t>Retain all KK components of each selected composition.</w:t>
      </w:r>
    </w:p>
    <w:p w14:paraId="606245FB" w14:textId="77777777" w:rsidR="009F561B" w:rsidRPr="009F561B" w:rsidRDefault="009F561B" w:rsidP="009F561B">
      <w:pPr>
        <w:numPr>
          <w:ilvl w:val="0"/>
          <w:numId w:val="1"/>
        </w:numPr>
      </w:pPr>
      <w:r w:rsidRPr="009F561B">
        <w:t>Retain results from all estimation methods for the same replicate.</w:t>
      </w:r>
    </w:p>
    <w:p w14:paraId="352397C2" w14:textId="77777777" w:rsidR="009F561B" w:rsidRPr="009F561B" w:rsidRDefault="009F561B" w:rsidP="009F561B">
      <w:pPr>
        <w:numPr>
          <w:ilvl w:val="0"/>
          <w:numId w:val="1"/>
        </w:numPr>
      </w:pPr>
      <w:r w:rsidRPr="009F561B">
        <w:t>If temporal dependence is present, retain the complete time series or meaningful time blocks.</w:t>
      </w:r>
    </w:p>
    <w:p w14:paraId="3181C4B2" w14:textId="77777777" w:rsidR="009F561B" w:rsidRPr="009F561B" w:rsidRDefault="009F561B" w:rsidP="009F561B">
      <w:pPr>
        <w:numPr>
          <w:ilvl w:val="0"/>
          <w:numId w:val="1"/>
        </w:numPr>
      </w:pPr>
      <w:r w:rsidRPr="009F561B">
        <w:t>Stratify the selection by every experimental-design cell relevant to inference—for example:</w:t>
      </w:r>
    </w:p>
    <w:p w14:paraId="5A63A49F" w14:textId="77777777" w:rsidR="009F561B" w:rsidRPr="009F561B" w:rsidRDefault="009F561B" w:rsidP="009F561B">
      <w:pPr>
        <w:numPr>
          <w:ilvl w:val="1"/>
          <w:numId w:val="1"/>
        </w:numPr>
      </w:pPr>
      <w:r w:rsidRPr="009F561B">
        <w:t xml:space="preserve">sampling </w:t>
      </w:r>
      <w:proofErr w:type="gramStart"/>
      <w:r w:rsidRPr="009F561B">
        <w:t>distribution;</w:t>
      </w:r>
      <w:proofErr w:type="gramEnd"/>
    </w:p>
    <w:p w14:paraId="3BAF5E4D" w14:textId="77777777" w:rsidR="009F561B" w:rsidRPr="009F561B" w:rsidRDefault="009F561B" w:rsidP="009F561B">
      <w:pPr>
        <w:numPr>
          <w:ilvl w:val="1"/>
          <w:numId w:val="1"/>
        </w:numPr>
      </w:pPr>
      <w:proofErr w:type="gramStart"/>
      <w:r w:rsidRPr="009F561B">
        <w:t>GG;</w:t>
      </w:r>
      <w:proofErr w:type="gramEnd"/>
    </w:p>
    <w:p w14:paraId="51C17116" w14:textId="77777777" w:rsidR="009F561B" w:rsidRPr="009F561B" w:rsidRDefault="009F561B" w:rsidP="009F561B">
      <w:pPr>
        <w:numPr>
          <w:ilvl w:val="1"/>
          <w:numId w:val="1"/>
        </w:numPr>
      </w:pPr>
      <w:proofErr w:type="spellStart"/>
      <w:r w:rsidRPr="009F561B">
        <w:t>θtrue</w:t>
      </w:r>
      <w:proofErr w:type="spellEnd"/>
      <w:r w:rsidRPr="009F561B">
        <w:t>\theta_{\</w:t>
      </w:r>
      <w:proofErr w:type="spellStart"/>
      <w:r w:rsidRPr="009F561B">
        <w:t>mathrm</w:t>
      </w:r>
      <w:proofErr w:type="spellEnd"/>
      <w:r w:rsidRPr="009F561B">
        <w:t>{true}</w:t>
      </w:r>
      <w:proofErr w:type="gramStart"/>
      <w:r w:rsidRPr="009F561B">
        <w:t>};</w:t>
      </w:r>
      <w:proofErr w:type="gramEnd"/>
    </w:p>
    <w:p w14:paraId="051C2CEA" w14:textId="77777777" w:rsidR="009F561B" w:rsidRPr="009F561B" w:rsidRDefault="009F561B" w:rsidP="009F561B">
      <w:pPr>
        <w:numPr>
          <w:ilvl w:val="1"/>
          <w:numId w:val="1"/>
        </w:numPr>
      </w:pPr>
      <w:proofErr w:type="spellStart"/>
      <w:r w:rsidRPr="009F561B">
        <w:t>θCV</w:t>
      </w:r>
      <w:proofErr w:type="spellEnd"/>
      <w:r w:rsidRPr="009F561B">
        <w:t>\theta_{\</w:t>
      </w:r>
      <w:proofErr w:type="spellStart"/>
      <w:proofErr w:type="gramStart"/>
      <w:r w:rsidRPr="009F561B">
        <w:t>mathrm</w:t>
      </w:r>
      <w:proofErr w:type="spellEnd"/>
      <w:r w:rsidRPr="009F561B">
        <w:t>{</w:t>
      </w:r>
      <w:proofErr w:type="gramEnd"/>
      <w:r w:rsidRPr="009F561B">
        <w:t>CV}};</w:t>
      </w:r>
    </w:p>
    <w:p w14:paraId="24F3D145" w14:textId="77777777" w:rsidR="009F561B" w:rsidRPr="009F561B" w:rsidRDefault="009F561B" w:rsidP="009F561B">
      <w:pPr>
        <w:numPr>
          <w:ilvl w:val="1"/>
          <w:numId w:val="1"/>
        </w:numPr>
      </w:pPr>
      <w:r w:rsidRPr="009F561B">
        <w:t>σ\</w:t>
      </w:r>
      <w:proofErr w:type="gramStart"/>
      <w:r w:rsidRPr="009F561B">
        <w:t>sigma;</w:t>
      </w:r>
      <w:proofErr w:type="gramEnd"/>
    </w:p>
    <w:p w14:paraId="38B009C0" w14:textId="77777777" w:rsidR="009F561B" w:rsidRPr="009F561B" w:rsidRDefault="009F561B" w:rsidP="009F561B">
      <w:pPr>
        <w:numPr>
          <w:ilvl w:val="1"/>
          <w:numId w:val="1"/>
        </w:numPr>
      </w:pPr>
      <w:r w:rsidRPr="009F561B">
        <w:t xml:space="preserve">mean sample </w:t>
      </w:r>
      <w:proofErr w:type="gramStart"/>
      <w:r w:rsidRPr="009F561B">
        <w:t>size;</w:t>
      </w:r>
      <w:proofErr w:type="gramEnd"/>
    </w:p>
    <w:p w14:paraId="5472E1BE" w14:textId="77777777" w:rsidR="009F561B" w:rsidRPr="009F561B" w:rsidRDefault="009F561B" w:rsidP="009F561B">
      <w:pPr>
        <w:numPr>
          <w:ilvl w:val="1"/>
          <w:numId w:val="1"/>
        </w:numPr>
      </w:pPr>
      <w:r w:rsidRPr="009F561B">
        <w:t>other scenario factors.</w:t>
      </w:r>
    </w:p>
    <w:p w14:paraId="564B0B71" w14:textId="77777777" w:rsidR="009F561B" w:rsidRPr="009F561B" w:rsidRDefault="009F561B" w:rsidP="009F561B">
      <w:pPr>
        <w:numPr>
          <w:ilvl w:val="0"/>
          <w:numId w:val="1"/>
        </w:numPr>
      </w:pPr>
      <w:r w:rsidRPr="009F561B">
        <w:t>Sample the same replicate IDs across methods so that comparisons remain paired.</w:t>
      </w:r>
    </w:p>
    <w:p w14:paraId="1802CA97" w14:textId="77777777" w:rsidR="009F561B" w:rsidRPr="009F561B" w:rsidRDefault="009F561B" w:rsidP="009F561B">
      <w:r w:rsidRPr="009F561B">
        <w:t xml:space="preserve">Independent row sampling would break the simplex structure, destroy method matching, underestimate uncertainty, and create </w:t>
      </w:r>
      <w:proofErr w:type="spellStart"/>
      <w:r w:rsidRPr="009F561B">
        <w:t>pseudoreplication</w:t>
      </w:r>
      <w:proofErr w:type="spellEnd"/>
      <w:r w:rsidRPr="009F561B">
        <w:t>.</w:t>
      </w:r>
    </w:p>
    <w:p w14:paraId="3E22C2D8" w14:textId="77777777" w:rsidR="009F561B" w:rsidRPr="009F561B" w:rsidRDefault="009F561B" w:rsidP="009F561B">
      <w:r w:rsidRPr="009F561B">
        <w:lastRenderedPageBreak/>
        <w:t xml:space="preserve">For estimating method effects and interactions, I would generally take an </w:t>
      </w:r>
      <w:r w:rsidRPr="009F561B">
        <w:rPr>
          <w:b/>
          <w:bCs/>
        </w:rPr>
        <w:t>equal number of replicates from every factorial cell</w:t>
      </w:r>
      <w:r w:rsidRPr="009F561B">
        <w:t>. Proportional allocation is preferable only if the target is an overall population-weighted summary rather than balanced comparisons among experimental conditions.</w:t>
      </w:r>
    </w:p>
    <w:p w14:paraId="5699B6F4" w14:textId="77777777" w:rsidR="009F561B" w:rsidRPr="009F561B" w:rsidRDefault="009F561B" w:rsidP="009F561B">
      <w:pPr>
        <w:rPr>
          <w:b/>
          <w:bCs/>
        </w:rPr>
      </w:pPr>
      <w:r w:rsidRPr="009F561B">
        <w:rPr>
          <w:b/>
          <w:bCs/>
        </w:rPr>
        <w:t>Why an absolute sample size matters more than a percentage</w:t>
      </w:r>
    </w:p>
    <w:p w14:paraId="620C8A5A" w14:textId="77777777" w:rsidR="009F561B" w:rsidRPr="009F561B" w:rsidRDefault="009F561B" w:rsidP="009F561B">
      <w:r w:rsidRPr="009F561B">
        <w:t>Under simple random sampling without replacement, the variance of the sample mean is</w:t>
      </w:r>
    </w:p>
    <w:p w14:paraId="16248520" w14:textId="77777777" w:rsidR="009F561B" w:rsidRPr="009F561B" w:rsidRDefault="009F561B" w:rsidP="009F561B">
      <w:r w:rsidRPr="009F561B">
        <w:t>Var</w:t>
      </w:r>
      <w:r w:rsidRPr="009F561B">
        <w:rPr>
          <w:rFonts w:ascii="Cambria Math" w:hAnsi="Cambria Math" w:cs="Cambria Math"/>
        </w:rPr>
        <w:t>⁡</w:t>
      </w:r>
      <w:r w:rsidRPr="009F561B">
        <w:t>(</w:t>
      </w:r>
      <w:proofErr w:type="spellStart"/>
      <w:r w:rsidRPr="009F561B">
        <w:t>y</w:t>
      </w:r>
      <w:r w:rsidRPr="009F561B">
        <w:rPr>
          <w:rFonts w:ascii="Arial" w:hAnsi="Arial" w:cs="Arial"/>
        </w:rPr>
        <w:t>ˉ</w:t>
      </w:r>
      <w:r w:rsidRPr="009F561B">
        <w:t>s</w:t>
      </w:r>
      <w:proofErr w:type="spellEnd"/>
      <w:r w:rsidRPr="009F561B">
        <w:t>)=(1</w:t>
      </w:r>
      <w:r w:rsidRPr="009F561B">
        <w:rPr>
          <w:rFonts w:ascii="Aptos" w:hAnsi="Aptos" w:cs="Aptos"/>
        </w:rPr>
        <w:t>−</w:t>
      </w:r>
      <w:proofErr w:type="gramStart"/>
      <w:r w:rsidRPr="009F561B">
        <w:t>nN)S</w:t>
      </w:r>
      <w:proofErr w:type="gramEnd"/>
      <w:r w:rsidRPr="009F561B">
        <w:t>2n,\</w:t>
      </w:r>
      <w:proofErr w:type="spellStart"/>
      <w:r w:rsidRPr="009F561B">
        <w:t>operatorname</w:t>
      </w:r>
      <w:proofErr w:type="spellEnd"/>
      <w:r w:rsidRPr="009F561B">
        <w:t xml:space="preserve">{Var}(\bar </w:t>
      </w:r>
      <w:proofErr w:type="spellStart"/>
      <w:r w:rsidRPr="009F561B">
        <w:t>y_s</w:t>
      </w:r>
      <w:proofErr w:type="spellEnd"/>
      <w:r w:rsidRPr="009F561B">
        <w:t>) = \left(1-\frac{n}{N}\right)\frac{S^2}{n},</w:t>
      </w:r>
    </w:p>
    <w:p w14:paraId="1213DBB8" w14:textId="77777777" w:rsidR="009F561B" w:rsidRPr="009F561B" w:rsidRDefault="009F561B" w:rsidP="009F561B">
      <w:r w:rsidRPr="009F561B">
        <w:t xml:space="preserve">where NN is the full dataset size and </w:t>
      </w:r>
      <w:proofErr w:type="spellStart"/>
      <w:r w:rsidRPr="009F561B">
        <w:t>nn</w:t>
      </w:r>
      <w:proofErr w:type="spellEnd"/>
      <w:r w:rsidRPr="009F561B">
        <w:t xml:space="preserve"> is the sample size.</w:t>
      </w:r>
    </w:p>
    <w:p w14:paraId="1EE0D313" w14:textId="77777777" w:rsidR="009F561B" w:rsidRPr="009F561B" w:rsidRDefault="009F561B" w:rsidP="009F561B">
      <w:r w:rsidRPr="009F561B">
        <w:t>When NN is extremely large and n/</w:t>
      </w:r>
      <w:proofErr w:type="spellStart"/>
      <w:r w:rsidRPr="009F561B">
        <w:t>Nn</w:t>
      </w:r>
      <w:proofErr w:type="spellEnd"/>
      <w:r w:rsidRPr="009F561B">
        <w:t>/N is small,</w:t>
      </w:r>
    </w:p>
    <w:p w14:paraId="320E4058" w14:textId="77777777" w:rsidR="009F561B" w:rsidRPr="009F561B" w:rsidRDefault="009F561B" w:rsidP="009F561B">
      <w:r w:rsidRPr="009F561B">
        <w:t>1−nN≈1,1-\frac{n}{</w:t>
      </w:r>
      <w:proofErr w:type="gramStart"/>
      <w:r w:rsidRPr="009F561B">
        <w:t>N}\</w:t>
      </w:r>
      <w:proofErr w:type="spellStart"/>
      <w:proofErr w:type="gramEnd"/>
      <w:r w:rsidRPr="009F561B">
        <w:t>approx</w:t>
      </w:r>
      <w:proofErr w:type="spellEnd"/>
      <w:r w:rsidRPr="009F561B">
        <w:t xml:space="preserve"> 1,</w:t>
      </w:r>
    </w:p>
    <w:p w14:paraId="67C72B89" w14:textId="77777777" w:rsidR="009F561B" w:rsidRPr="009F561B" w:rsidRDefault="009F561B" w:rsidP="009F561B">
      <w:r w:rsidRPr="009F561B">
        <w:t xml:space="preserve">so precision is determined almost entirely by </w:t>
      </w:r>
      <w:proofErr w:type="spellStart"/>
      <w:r w:rsidRPr="009F561B">
        <w:t>nn</w:t>
      </w:r>
      <w:proofErr w:type="spellEnd"/>
      <w:r w:rsidRPr="009F561B">
        <w:t>, not by the sampling percentage. A sample of one million observations has essentially the same sampling precision whether it comes from 100 million or 500 million observations.</w:t>
      </w:r>
    </w:p>
    <w:p w14:paraId="5EDE101E" w14:textId="77777777" w:rsidR="009F561B" w:rsidRPr="009F561B" w:rsidRDefault="009F561B" w:rsidP="009F561B">
      <w:r w:rsidRPr="009F561B">
        <w:t>For estimating a finite-population mean to within an absolute tolerance dd with approximate 100(1−</w:t>
      </w:r>
      <w:proofErr w:type="gramStart"/>
      <w:r w:rsidRPr="009F561B">
        <w:t>α)%</w:t>
      </w:r>
      <w:proofErr w:type="gramEnd"/>
      <w:r w:rsidRPr="009F561B">
        <w:t>100(1-\alpha)\% confidence,</w:t>
      </w:r>
    </w:p>
    <w:p w14:paraId="081D3794" w14:textId="77777777" w:rsidR="009F561B" w:rsidRPr="009F561B" w:rsidRDefault="009F561B" w:rsidP="009F561B">
      <w:r w:rsidRPr="009F561B">
        <w:t>n=</w:t>
      </w:r>
      <w:proofErr w:type="spellStart"/>
      <w:r w:rsidRPr="009F561B">
        <w:t>Nz</w:t>
      </w:r>
      <w:proofErr w:type="spellEnd"/>
      <w:r w:rsidRPr="009F561B">
        <w:t>α/2</w:t>
      </w:r>
      <w:r w:rsidRPr="009F561B">
        <w:rPr>
          <w:rFonts w:ascii="Arial" w:hAnsi="Arial" w:cs="Arial"/>
        </w:rPr>
        <w:t> </w:t>
      </w:r>
      <w:r w:rsidRPr="009F561B">
        <w:t>2S2d2(N</w:t>
      </w:r>
      <w:r w:rsidRPr="009F561B">
        <w:rPr>
          <w:rFonts w:ascii="Aptos" w:hAnsi="Aptos" w:cs="Aptos"/>
        </w:rPr>
        <w:t>−</w:t>
      </w:r>
      <w:proofErr w:type="gramStart"/>
      <w:r w:rsidRPr="009F561B">
        <w:t>1)+</w:t>
      </w:r>
      <w:proofErr w:type="gramEnd"/>
      <w:r w:rsidRPr="009F561B">
        <w:t>z</w:t>
      </w:r>
      <w:r w:rsidRPr="009F561B">
        <w:rPr>
          <w:rFonts w:ascii="Aptos" w:hAnsi="Aptos" w:cs="Aptos"/>
        </w:rPr>
        <w:t>α</w:t>
      </w:r>
      <w:r w:rsidRPr="009F561B">
        <w:t>/2</w:t>
      </w:r>
      <w:r w:rsidRPr="009F561B">
        <w:rPr>
          <w:rFonts w:ascii="Arial" w:hAnsi="Arial" w:cs="Arial"/>
        </w:rPr>
        <w:t> </w:t>
      </w:r>
      <w:r w:rsidRPr="009F561B">
        <w:t>2S2.n = \frac{N z_{\alpha/2}^{\,2}S^2} {d^2(N-1)+z_{\alpha/2}^{\,2}S^2}.</w:t>
      </w:r>
    </w:p>
    <w:p w14:paraId="63E9D2B9" w14:textId="77777777" w:rsidR="009F561B" w:rsidRPr="009F561B" w:rsidRDefault="009F561B" w:rsidP="009F561B">
      <w:r w:rsidRPr="009F561B">
        <w:t>For very large NN, this reduces to</w:t>
      </w:r>
    </w:p>
    <w:p w14:paraId="1C45F89F" w14:textId="77777777" w:rsidR="009F561B" w:rsidRPr="009F561B" w:rsidRDefault="009F561B" w:rsidP="009F561B">
      <w:proofErr w:type="spellStart"/>
      <w:r w:rsidRPr="009F561B">
        <w:t>n≈z</w:t>
      </w:r>
      <w:proofErr w:type="spellEnd"/>
      <w:r w:rsidRPr="009F561B">
        <w:t>α/2</w:t>
      </w:r>
      <w:r w:rsidRPr="009F561B">
        <w:rPr>
          <w:rFonts w:ascii="Arial" w:hAnsi="Arial" w:cs="Arial"/>
        </w:rPr>
        <w:t> </w:t>
      </w:r>
      <w:r w:rsidRPr="009F561B">
        <w:t>2S2d2.n \</w:t>
      </w:r>
      <w:proofErr w:type="spellStart"/>
      <w:r w:rsidRPr="009F561B">
        <w:t>approx</w:t>
      </w:r>
      <w:proofErr w:type="spellEnd"/>
      <w:r w:rsidRPr="009F561B">
        <w:t xml:space="preserve"> \frac{z_{</w:t>
      </w:r>
      <w:proofErr w:type="gramStart"/>
      <w:r w:rsidRPr="009F561B">
        <w:t>\alpha/2}^</w:t>
      </w:r>
      <w:proofErr w:type="gramEnd"/>
      <w:r w:rsidRPr="009F561B">
        <w:t>{\,2}S^2}{d^2}.</w:t>
      </w:r>
    </w:p>
    <w:p w14:paraId="435FB770" w14:textId="77777777" w:rsidR="009F561B" w:rsidRPr="009F561B" w:rsidRDefault="009F561B" w:rsidP="009F561B">
      <w:r w:rsidRPr="009F561B">
        <w:t xml:space="preserve">Thus, the theoretically defensible procedure is to choose </w:t>
      </w:r>
      <w:proofErr w:type="spellStart"/>
      <w:r w:rsidRPr="009F561B">
        <w:t>nn</w:t>
      </w:r>
      <w:proofErr w:type="spellEnd"/>
      <w:r w:rsidRPr="009F561B">
        <w:t xml:space="preserve"> from a target precision for the method contrasts, EMMs, RMSE differences, or regression coefficients—not to choose an arbitrary percentage.</w:t>
      </w:r>
    </w:p>
    <w:p w14:paraId="4A0D2F0F" w14:textId="77777777" w:rsidR="009F561B" w:rsidRPr="009F561B" w:rsidRDefault="009F561B" w:rsidP="009F561B">
      <w:pPr>
        <w:rPr>
          <w:b/>
          <w:bCs/>
        </w:rPr>
      </w:pPr>
      <w:r w:rsidRPr="009F561B">
        <w:rPr>
          <w:b/>
          <w:bCs/>
        </w:rPr>
        <w:t>Theory supporting the sampling strategy</w:t>
      </w:r>
    </w:p>
    <w:p w14:paraId="76D33773" w14:textId="77777777" w:rsidR="009F561B" w:rsidRPr="009F561B" w:rsidRDefault="009F561B" w:rsidP="009F561B">
      <w:pPr>
        <w:rPr>
          <w:b/>
          <w:bCs/>
        </w:rPr>
      </w:pPr>
      <w:r w:rsidRPr="009F561B">
        <w:rPr>
          <w:b/>
          <w:bCs/>
        </w:rPr>
        <w:t>1. Design-based sampling theory</w:t>
      </w:r>
    </w:p>
    <w:p w14:paraId="2003314A" w14:textId="77777777" w:rsidR="009F561B" w:rsidRPr="009F561B" w:rsidRDefault="009F561B" w:rsidP="009F561B">
      <w:r w:rsidRPr="009F561B">
        <w:t>Simple random sampling gives unbiased estimates of finite-population means and totals when observations have known inclusion probabilities. Unequal-probability samples remain valid when analyzed using inverse-probability or Horvitz–Thompson weights.</w:t>
      </w:r>
    </w:p>
    <w:p w14:paraId="358696C3" w14:textId="77777777" w:rsidR="009F561B" w:rsidRPr="009F561B" w:rsidRDefault="009F561B" w:rsidP="009F561B">
      <w:pPr>
        <w:rPr>
          <w:b/>
          <w:bCs/>
        </w:rPr>
      </w:pPr>
      <w:r w:rsidRPr="009F561B">
        <w:rPr>
          <w:b/>
          <w:bCs/>
        </w:rPr>
        <w:t>2. Stratified sampling</w:t>
      </w:r>
    </w:p>
    <w:p w14:paraId="07527722" w14:textId="77777777" w:rsidR="009F561B" w:rsidRPr="009F561B" w:rsidRDefault="009F561B" w:rsidP="009F561B">
      <w:r w:rsidRPr="009F561B">
        <w:t>Stratification guarantees coverage of every factorial condition and can substantially reduce variance. If the goal is to estimate an overall mean efficiently, Neyman allocation gives</w:t>
      </w:r>
    </w:p>
    <w:p w14:paraId="01B100FD" w14:textId="77777777" w:rsidR="009F561B" w:rsidRPr="009F561B" w:rsidRDefault="009F561B" w:rsidP="009F561B">
      <w:proofErr w:type="spellStart"/>
      <w:r w:rsidRPr="009F561B">
        <w:lastRenderedPageBreak/>
        <w:t>nh</w:t>
      </w:r>
      <w:proofErr w:type="spellEnd"/>
      <w:r w:rsidRPr="009F561B">
        <w:t>=</w:t>
      </w:r>
      <w:proofErr w:type="spellStart"/>
      <w:r w:rsidRPr="009F561B">
        <w:t>nNhSh</w:t>
      </w:r>
      <w:proofErr w:type="spellEnd"/>
      <w:r w:rsidRPr="009F561B">
        <w:t>∑ℓ=1HNℓS</w:t>
      </w:r>
      <w:proofErr w:type="gramStart"/>
      <w:r w:rsidRPr="009F561B">
        <w:t>ℓ,</w:t>
      </w:r>
      <w:proofErr w:type="spellStart"/>
      <w:r w:rsidRPr="009F561B">
        <w:t>n</w:t>
      </w:r>
      <w:proofErr w:type="gramEnd"/>
      <w:r w:rsidRPr="009F561B">
        <w:t>_h</w:t>
      </w:r>
      <w:proofErr w:type="spellEnd"/>
      <w:r w:rsidRPr="009F561B">
        <w:t xml:space="preserve"> = n\frac{</w:t>
      </w:r>
      <w:proofErr w:type="spellStart"/>
      <w:r w:rsidRPr="009F561B">
        <w:t>N_hS_h</w:t>
      </w:r>
      <w:proofErr w:type="spellEnd"/>
      <w:r w:rsidRPr="009F561B">
        <w:t>}{\sum_{\ell=1}^{H}N_\ell S_\ell},</w:t>
      </w:r>
    </w:p>
    <w:p w14:paraId="7E7F8EC5" w14:textId="77777777" w:rsidR="009F561B" w:rsidRPr="009F561B" w:rsidRDefault="009F561B" w:rsidP="009F561B">
      <w:r w:rsidRPr="009F561B">
        <w:t xml:space="preserve">where </w:t>
      </w:r>
      <w:proofErr w:type="spellStart"/>
      <w:r w:rsidRPr="009F561B">
        <w:t>NhN_h</w:t>
      </w:r>
      <w:proofErr w:type="spellEnd"/>
      <w:r w:rsidRPr="009F561B">
        <w:t xml:space="preserve"> and </w:t>
      </w:r>
      <w:proofErr w:type="spellStart"/>
      <w:r w:rsidRPr="009F561B">
        <w:t>ShS_h</w:t>
      </w:r>
      <w:proofErr w:type="spellEnd"/>
      <w:r w:rsidRPr="009F561B">
        <w:t xml:space="preserve"> are the size and within-stratum standard deviation for stratum </w:t>
      </w:r>
      <w:proofErr w:type="spellStart"/>
      <w:r w:rsidRPr="009F561B">
        <w:t>hh</w:t>
      </w:r>
      <w:proofErr w:type="spellEnd"/>
      <w:r w:rsidRPr="009F561B">
        <w:t>. This allocation minimizes variance for a fixed total sample size when sampling costs are equal.</w:t>
      </w:r>
    </w:p>
    <w:p w14:paraId="7E9529DB" w14:textId="77777777" w:rsidR="009F561B" w:rsidRPr="009F561B" w:rsidRDefault="009F561B" w:rsidP="009F561B">
      <w:r w:rsidRPr="009F561B">
        <w:t>For estimating experimental-factor effects, equal allocation is often preferable because it prevents large factorial cells from overwhelming small cells. A useful compromise is a minimum equal allocation per cell followed by Neyman allocation of the remaining sample.</w:t>
      </w:r>
    </w:p>
    <w:p w14:paraId="3B73A4EE" w14:textId="77777777" w:rsidR="009F561B" w:rsidRPr="009F561B" w:rsidRDefault="009F561B" w:rsidP="009F561B">
      <w:pPr>
        <w:rPr>
          <w:b/>
          <w:bCs/>
        </w:rPr>
      </w:pPr>
      <w:r w:rsidRPr="009F561B">
        <w:rPr>
          <w:b/>
          <w:bCs/>
        </w:rPr>
        <w:t>3. Paired sampling</w:t>
      </w:r>
    </w:p>
    <w:p w14:paraId="5E8B075D" w14:textId="77777777" w:rsidR="009F561B" w:rsidRPr="009F561B" w:rsidRDefault="009F561B" w:rsidP="009F561B">
      <w:r w:rsidRPr="009F561B">
        <w:t xml:space="preserve">Because every simulated dataset is evaluated using multiple estimation methods, method comparisons are naturally paired. If </w:t>
      </w:r>
      <w:proofErr w:type="spellStart"/>
      <w:proofErr w:type="gramStart"/>
      <w:r w:rsidRPr="009F561B">
        <w:t>DiD</w:t>
      </w:r>
      <w:proofErr w:type="gramEnd"/>
      <w:r w:rsidRPr="009F561B">
        <w:t>_i</w:t>
      </w:r>
      <w:proofErr w:type="spellEnd"/>
      <w:r w:rsidRPr="009F561B">
        <w:t xml:space="preserve"> is an accuracy difference between two methods, the relevant variance is</w:t>
      </w:r>
    </w:p>
    <w:p w14:paraId="16A670E0" w14:textId="77777777" w:rsidR="009F561B" w:rsidRPr="009F561B" w:rsidRDefault="009F561B" w:rsidP="009F561B">
      <w:proofErr w:type="gramStart"/>
      <w:r w:rsidRPr="009F561B">
        <w:t>Var</w:t>
      </w:r>
      <w:r w:rsidRPr="009F561B">
        <w:rPr>
          <w:rFonts w:ascii="Cambria Math" w:hAnsi="Cambria Math" w:cs="Cambria Math"/>
        </w:rPr>
        <w:t>⁡</w:t>
      </w:r>
      <w:r w:rsidRPr="009F561B">
        <w:t>(</w:t>
      </w:r>
      <w:proofErr w:type="gramEnd"/>
      <w:r w:rsidRPr="009F561B">
        <w:t>D</w:t>
      </w:r>
      <w:r w:rsidRPr="009F561B">
        <w:rPr>
          <w:rFonts w:ascii="Arial" w:hAnsi="Arial" w:cs="Arial"/>
        </w:rPr>
        <w:t>ˉ</w:t>
      </w:r>
      <w:r w:rsidRPr="009F561B">
        <w:t>)=(1</w:t>
      </w:r>
      <w:r w:rsidRPr="009F561B">
        <w:rPr>
          <w:rFonts w:ascii="Aptos" w:hAnsi="Aptos" w:cs="Aptos"/>
        </w:rPr>
        <w:t>−</w:t>
      </w:r>
      <w:r w:rsidRPr="009F561B">
        <w:t>nN)SD2n.\</w:t>
      </w:r>
      <w:proofErr w:type="spellStart"/>
      <w:r w:rsidRPr="009F561B">
        <w:t>operatorname</w:t>
      </w:r>
      <w:proofErr w:type="spellEnd"/>
      <w:r w:rsidRPr="009F561B">
        <w:t>{Var}(\bar D) = \left(1-\frac{n}{N}\right)\frac{S_D^2}{n}.</w:t>
      </w:r>
    </w:p>
    <w:p w14:paraId="0A44FF0B" w14:textId="77777777" w:rsidR="009F561B" w:rsidRPr="009F561B" w:rsidRDefault="009F561B" w:rsidP="009F561B">
      <w:r w:rsidRPr="009F561B">
        <w:t>Sampling matched replicates is usually more efficient than independently sampling each method because positive between-replicate correlation cancels from the contrast.</w:t>
      </w:r>
    </w:p>
    <w:p w14:paraId="13F90F48" w14:textId="77777777" w:rsidR="009F561B" w:rsidRPr="009F561B" w:rsidRDefault="009F561B" w:rsidP="009F561B">
      <w:pPr>
        <w:rPr>
          <w:b/>
          <w:bCs/>
        </w:rPr>
      </w:pPr>
      <w:r w:rsidRPr="009F561B">
        <w:rPr>
          <w:b/>
          <w:bCs/>
        </w:rPr>
        <w:t>4. Cluster and repeated-measures theory</w:t>
      </w:r>
    </w:p>
    <w:p w14:paraId="54CBFF2B" w14:textId="77777777" w:rsidR="009F561B" w:rsidRPr="009F561B" w:rsidRDefault="009F561B" w:rsidP="009F561B">
      <w:r w:rsidRPr="009F561B">
        <w:t>Rows belonging to the same composition, simulation replicate, or temporal trajectory are correlated. If rows are sampled individually, the nominal sample size substantially overstates the effective sample size. The familiar approximation is</w:t>
      </w:r>
    </w:p>
    <w:p w14:paraId="3108EF6F" w14:textId="77777777" w:rsidR="009F561B" w:rsidRPr="009F561B" w:rsidRDefault="009F561B" w:rsidP="009F561B">
      <w:r w:rsidRPr="009F561B">
        <w:t>neff≈n1+(m</w:t>
      </w:r>
      <w:r w:rsidRPr="009F561B">
        <w:rPr>
          <w:rFonts w:ascii="Arial" w:hAnsi="Arial" w:cs="Arial"/>
        </w:rPr>
        <w:t>ˉ</w:t>
      </w:r>
      <w:r w:rsidRPr="009F561B">
        <w:rPr>
          <w:rFonts w:ascii="Aptos" w:hAnsi="Aptos" w:cs="Aptos"/>
        </w:rPr>
        <w:t>−</w:t>
      </w:r>
      <w:proofErr w:type="gramStart"/>
      <w:r w:rsidRPr="009F561B">
        <w:t>1)</w:t>
      </w:r>
      <w:proofErr w:type="spellStart"/>
      <w:r w:rsidRPr="009F561B">
        <w:rPr>
          <w:rFonts w:ascii="Aptos" w:hAnsi="Aptos" w:cs="Aptos"/>
        </w:rPr>
        <w:t>ρ</w:t>
      </w:r>
      <w:proofErr w:type="gramEnd"/>
      <w:r w:rsidRPr="009F561B">
        <w:t>,n</w:t>
      </w:r>
      <w:proofErr w:type="spellEnd"/>
      <w:r w:rsidRPr="009F561B">
        <w:t>_{\</w:t>
      </w:r>
      <w:proofErr w:type="spellStart"/>
      <w:r w:rsidRPr="009F561B">
        <w:t>mathrm</w:t>
      </w:r>
      <w:proofErr w:type="spellEnd"/>
      <w:r w:rsidRPr="009F561B">
        <w:t>{eff}} \</w:t>
      </w:r>
      <w:proofErr w:type="spellStart"/>
      <w:r w:rsidRPr="009F561B">
        <w:t>approx</w:t>
      </w:r>
      <w:proofErr w:type="spellEnd"/>
      <w:r w:rsidRPr="009F561B">
        <w:t xml:space="preserve"> \frac{n}{1+(\bar m-1)\rho},</w:t>
      </w:r>
    </w:p>
    <w:p w14:paraId="3ED654DC" w14:textId="77777777" w:rsidR="009F561B" w:rsidRPr="009F561B" w:rsidRDefault="009F561B" w:rsidP="009F561B">
      <w:r w:rsidRPr="009F561B">
        <w:t>where m</w:t>
      </w:r>
      <w:r w:rsidRPr="009F561B">
        <w:rPr>
          <w:rFonts w:ascii="Arial" w:hAnsi="Arial" w:cs="Arial"/>
        </w:rPr>
        <w:t>ˉ</w:t>
      </w:r>
      <w:r w:rsidRPr="009F561B">
        <w:t xml:space="preserve">\bar m is average cluster size and ρ\rho is </w:t>
      </w:r>
      <w:proofErr w:type="spellStart"/>
      <w:r w:rsidRPr="009F561B">
        <w:t>intracluster</w:t>
      </w:r>
      <w:proofErr w:type="spellEnd"/>
      <w:r w:rsidRPr="009F561B">
        <w:t xml:space="preserve"> correlation. Sampling complete independent replicate clusters avoids breaking the dependence structure, although cluster-level variation must still be represented in the analysis.</w:t>
      </w:r>
    </w:p>
    <w:p w14:paraId="3F82461A" w14:textId="77777777" w:rsidR="009F561B" w:rsidRPr="009F561B" w:rsidRDefault="009F561B" w:rsidP="009F561B">
      <w:pPr>
        <w:rPr>
          <w:b/>
          <w:bCs/>
        </w:rPr>
      </w:pPr>
      <w:r w:rsidRPr="009F561B">
        <w:rPr>
          <w:b/>
          <w:bCs/>
        </w:rPr>
        <w:t>5. Optimal subsampling for large-data models</w:t>
      </w:r>
    </w:p>
    <w:p w14:paraId="03C8268B" w14:textId="77777777" w:rsidR="009F561B" w:rsidRPr="009F561B" w:rsidRDefault="009F561B" w:rsidP="009F561B">
      <w:r w:rsidRPr="009F561B">
        <w:t xml:space="preserve">For regression and likelihood models, uniform random sampling is not always the most statistically efficient. Algorithmic subsampling theory assigns larger selection probabilities to observations with high leverage, large residuals, or large score/influence contributions. With inverse-probability weighting, these designs can approximate the full-data estimator using much smaller samples. The optimal probabilities are model-specific and commonly require a small pilot sample. This theory establishes consistency, asymptotic normality, and variance- or MSE-minimizing sampling probabilities; see </w:t>
      </w:r>
      <w:hyperlink r:id="rId5" w:history="1">
        <w:r w:rsidRPr="009F561B">
          <w:rPr>
            <w:rStyle w:val="Hyperlink"/>
          </w:rPr>
          <w:t xml:space="preserve">Wang, Zhu, and Ma, </w:t>
        </w:r>
        <w:r w:rsidRPr="009F561B">
          <w:rPr>
            <w:rStyle w:val="Hyperlink"/>
            <w:i/>
            <w:iCs/>
          </w:rPr>
          <w:t>Optimal Subsampling for Large Sample Logistic Regression</w:t>
        </w:r>
      </w:hyperlink>
      <w:r w:rsidRPr="009F561B">
        <w:t>.</w:t>
      </w:r>
    </w:p>
    <w:p w14:paraId="307B66D5" w14:textId="77777777" w:rsidR="009F561B" w:rsidRPr="009F561B" w:rsidRDefault="009F561B" w:rsidP="009F561B">
      <w:r w:rsidRPr="009F561B">
        <w:lastRenderedPageBreak/>
        <w:t>For your factorial comparison, however, balanced stratified sampling is probably safer and easier to interpret than leverage-based sampling because factor effects and method contrasts—not merely approximation of one fitted model—are the primary objectives.</w:t>
      </w:r>
    </w:p>
    <w:p w14:paraId="0924C609" w14:textId="77777777" w:rsidR="009F561B" w:rsidRPr="009F561B" w:rsidRDefault="009F561B" w:rsidP="009F561B">
      <w:pPr>
        <w:rPr>
          <w:b/>
          <w:bCs/>
        </w:rPr>
      </w:pPr>
      <w:r w:rsidRPr="009F561B">
        <w:rPr>
          <w:b/>
          <w:bCs/>
        </w:rPr>
        <w:t>A practical selection rule</w:t>
      </w:r>
    </w:p>
    <w:p w14:paraId="62CDF3C6" w14:textId="77777777" w:rsidR="009F561B" w:rsidRPr="009F561B" w:rsidRDefault="009F561B" w:rsidP="009F561B">
      <w:r w:rsidRPr="009F561B">
        <w:t>I recommend this procedure:</w:t>
      </w:r>
    </w:p>
    <w:p w14:paraId="120DEF17" w14:textId="77777777" w:rsidR="009F561B" w:rsidRPr="009F561B" w:rsidRDefault="009F561B" w:rsidP="009F561B">
      <w:pPr>
        <w:numPr>
          <w:ilvl w:val="0"/>
          <w:numId w:val="2"/>
        </w:numPr>
      </w:pPr>
      <w:r w:rsidRPr="009F561B">
        <w:t xml:space="preserve">Start with </w:t>
      </w:r>
      <w:r w:rsidRPr="009F561B">
        <w:rPr>
          <w:b/>
          <w:bCs/>
        </w:rPr>
        <w:t>1% of independent replicate units within each factorial cell</w:t>
      </w:r>
      <w:r w:rsidRPr="009F561B">
        <w:t>, subject to a reasonable minimum per cell.</w:t>
      </w:r>
    </w:p>
    <w:p w14:paraId="3B99F802" w14:textId="77777777" w:rsidR="009F561B" w:rsidRPr="009F561B" w:rsidRDefault="009F561B" w:rsidP="009F561B">
      <w:pPr>
        <w:numPr>
          <w:ilvl w:val="0"/>
          <w:numId w:val="2"/>
        </w:numPr>
      </w:pPr>
      <w:r w:rsidRPr="009F561B">
        <w:t>Fit the complete planned analysis at 0.25%, 0.5%, 1%, and 2%.</w:t>
      </w:r>
    </w:p>
    <w:p w14:paraId="1CCC367A" w14:textId="77777777" w:rsidR="009F561B" w:rsidRPr="009F561B" w:rsidRDefault="009F561B" w:rsidP="009F561B">
      <w:pPr>
        <w:numPr>
          <w:ilvl w:val="0"/>
          <w:numId w:val="2"/>
        </w:numPr>
      </w:pPr>
      <w:r w:rsidRPr="009F561B">
        <w:t>Generate at least 10–20 independently seeded samples at each fraction.</w:t>
      </w:r>
    </w:p>
    <w:p w14:paraId="6152A050" w14:textId="77777777" w:rsidR="009F561B" w:rsidRPr="009F561B" w:rsidRDefault="009F561B" w:rsidP="009F561B">
      <w:pPr>
        <w:numPr>
          <w:ilvl w:val="0"/>
          <w:numId w:val="2"/>
        </w:numPr>
      </w:pPr>
      <w:r w:rsidRPr="009F561B">
        <w:t>Compare:</w:t>
      </w:r>
    </w:p>
    <w:p w14:paraId="39DD0D88" w14:textId="77777777" w:rsidR="009F561B" w:rsidRPr="009F561B" w:rsidRDefault="009F561B" w:rsidP="009F561B">
      <w:pPr>
        <w:numPr>
          <w:ilvl w:val="1"/>
          <w:numId w:val="2"/>
        </w:numPr>
      </w:pPr>
      <w:r w:rsidRPr="009F561B">
        <w:t xml:space="preserve">method </w:t>
      </w:r>
      <w:proofErr w:type="gramStart"/>
      <w:r w:rsidRPr="009F561B">
        <w:t>rankings;</w:t>
      </w:r>
      <w:proofErr w:type="gramEnd"/>
    </w:p>
    <w:p w14:paraId="705CE688" w14:textId="77777777" w:rsidR="009F561B" w:rsidRPr="009F561B" w:rsidRDefault="009F561B" w:rsidP="009F561B">
      <w:pPr>
        <w:numPr>
          <w:ilvl w:val="1"/>
          <w:numId w:val="2"/>
        </w:numPr>
      </w:pPr>
      <w:r w:rsidRPr="009F561B">
        <w:t xml:space="preserve">estimated method </w:t>
      </w:r>
      <w:proofErr w:type="gramStart"/>
      <w:r w:rsidRPr="009F561B">
        <w:t>contrasts;</w:t>
      </w:r>
      <w:proofErr w:type="gramEnd"/>
    </w:p>
    <w:p w14:paraId="3704DE3A" w14:textId="77777777" w:rsidR="009F561B" w:rsidRPr="009F561B" w:rsidRDefault="009F561B" w:rsidP="009F561B">
      <w:pPr>
        <w:numPr>
          <w:ilvl w:val="1"/>
          <w:numId w:val="2"/>
        </w:numPr>
      </w:pPr>
      <w:proofErr w:type="gramStart"/>
      <w:r w:rsidRPr="009F561B">
        <w:t>EMMs;</w:t>
      </w:r>
      <w:proofErr w:type="gramEnd"/>
    </w:p>
    <w:p w14:paraId="50CE236C" w14:textId="77777777" w:rsidR="009F561B" w:rsidRPr="009F561B" w:rsidRDefault="009F561B" w:rsidP="009F561B">
      <w:pPr>
        <w:numPr>
          <w:ilvl w:val="1"/>
          <w:numId w:val="2"/>
        </w:numPr>
      </w:pPr>
      <w:r w:rsidRPr="009F561B">
        <w:t xml:space="preserve">interaction </w:t>
      </w:r>
      <w:proofErr w:type="gramStart"/>
      <w:r w:rsidRPr="009F561B">
        <w:t>estimates;</w:t>
      </w:r>
      <w:proofErr w:type="gramEnd"/>
    </w:p>
    <w:p w14:paraId="0F31C399" w14:textId="77777777" w:rsidR="009F561B" w:rsidRPr="009F561B" w:rsidRDefault="009F561B" w:rsidP="009F561B">
      <w:pPr>
        <w:numPr>
          <w:ilvl w:val="1"/>
          <w:numId w:val="2"/>
        </w:numPr>
      </w:pPr>
      <w:r w:rsidRPr="009F561B">
        <w:t xml:space="preserve">standard errors and confidence </w:t>
      </w:r>
      <w:proofErr w:type="gramStart"/>
      <w:r w:rsidRPr="009F561B">
        <w:t>intervals;</w:t>
      </w:r>
      <w:proofErr w:type="gramEnd"/>
    </w:p>
    <w:p w14:paraId="03298480" w14:textId="77777777" w:rsidR="009F561B" w:rsidRPr="009F561B" w:rsidRDefault="009F561B" w:rsidP="009F561B">
      <w:pPr>
        <w:numPr>
          <w:ilvl w:val="1"/>
          <w:numId w:val="2"/>
        </w:numPr>
      </w:pPr>
      <w:r w:rsidRPr="009F561B">
        <w:t xml:space="preserve">conclusions about statistical </w:t>
      </w:r>
      <w:proofErr w:type="gramStart"/>
      <w:r w:rsidRPr="009F561B">
        <w:t>significance;</w:t>
      </w:r>
      <w:proofErr w:type="gramEnd"/>
    </w:p>
    <w:p w14:paraId="6ACCD3A7" w14:textId="77777777" w:rsidR="009F561B" w:rsidRPr="009F561B" w:rsidRDefault="009F561B" w:rsidP="009F561B">
      <w:pPr>
        <w:numPr>
          <w:ilvl w:val="1"/>
          <w:numId w:val="2"/>
        </w:numPr>
      </w:pPr>
      <w:r w:rsidRPr="009F561B">
        <w:t>prediction or fitted-response surfaces.</w:t>
      </w:r>
    </w:p>
    <w:p w14:paraId="4EE08D81" w14:textId="77777777" w:rsidR="009F561B" w:rsidRPr="009F561B" w:rsidRDefault="009F561B" w:rsidP="009F561B">
      <w:pPr>
        <w:numPr>
          <w:ilvl w:val="0"/>
          <w:numId w:val="2"/>
        </w:numPr>
      </w:pPr>
      <w:r w:rsidRPr="009F561B">
        <w:t>Select the smallest fraction for which:</w:t>
      </w:r>
    </w:p>
    <w:p w14:paraId="17A1648F" w14:textId="77777777" w:rsidR="009F561B" w:rsidRPr="009F561B" w:rsidRDefault="009F561B" w:rsidP="009F561B">
      <w:pPr>
        <w:numPr>
          <w:ilvl w:val="1"/>
          <w:numId w:val="2"/>
        </w:numPr>
      </w:pPr>
      <w:r w:rsidRPr="009F561B">
        <w:t xml:space="preserve">method rankings are nearly </w:t>
      </w:r>
      <w:proofErr w:type="gramStart"/>
      <w:r w:rsidRPr="009F561B">
        <w:t>invariant;</w:t>
      </w:r>
      <w:proofErr w:type="gramEnd"/>
    </w:p>
    <w:p w14:paraId="259B7B7F" w14:textId="77777777" w:rsidR="009F561B" w:rsidRPr="009F561B" w:rsidRDefault="009F561B" w:rsidP="009F561B">
      <w:pPr>
        <w:numPr>
          <w:ilvl w:val="1"/>
          <w:numId w:val="2"/>
        </w:numPr>
      </w:pPr>
      <w:r w:rsidRPr="009F561B">
        <w:t>important standardized estimates change by less than about 1–2</w:t>
      </w:r>
      <w:proofErr w:type="gramStart"/>
      <w:r w:rsidRPr="009F561B">
        <w:t>%;</w:t>
      </w:r>
      <w:proofErr w:type="gramEnd"/>
    </w:p>
    <w:p w14:paraId="58DD7DCB" w14:textId="77777777" w:rsidR="009F561B" w:rsidRPr="009F561B" w:rsidRDefault="009F561B" w:rsidP="009F561B">
      <w:pPr>
        <w:numPr>
          <w:ilvl w:val="1"/>
          <w:numId w:val="2"/>
        </w:numPr>
      </w:pPr>
      <w:r w:rsidRPr="009F561B">
        <w:t xml:space="preserve">Monte Carlo variability is small relative to model-based standard </w:t>
      </w:r>
      <w:proofErr w:type="gramStart"/>
      <w:r w:rsidRPr="009F561B">
        <w:t>errors;</w:t>
      </w:r>
      <w:proofErr w:type="gramEnd"/>
    </w:p>
    <w:p w14:paraId="442FB99A" w14:textId="77777777" w:rsidR="009F561B" w:rsidRPr="009F561B" w:rsidRDefault="009F561B" w:rsidP="009F561B">
      <w:pPr>
        <w:numPr>
          <w:ilvl w:val="1"/>
          <w:numId w:val="2"/>
        </w:numPr>
      </w:pPr>
      <w:r w:rsidRPr="009F561B">
        <w:t>inferential conclusions no longer change materially.</w:t>
      </w:r>
    </w:p>
    <w:p w14:paraId="75F00F26" w14:textId="77777777" w:rsidR="009F561B" w:rsidRPr="009F561B" w:rsidRDefault="009F561B" w:rsidP="009F561B">
      <w:r w:rsidRPr="009F561B">
        <w:t>For your dataset, my provisional choice would be:</w:t>
      </w:r>
    </w:p>
    <w:p w14:paraId="15822C94" w14:textId="77777777" w:rsidR="009F561B" w:rsidRPr="009F561B" w:rsidRDefault="009F561B" w:rsidP="009F561B">
      <w:r w:rsidRPr="009F561B">
        <w:rPr>
          <w:b/>
          <w:bCs/>
        </w:rPr>
        <w:t>Use a 1% balanced stratified sample of complete simulation replicates, matched across methods and retaining complete compositions. Increase to 2% only if the stability analysis reveals meaningful changes.</w:t>
      </w:r>
    </w:p>
    <w:p w14:paraId="3DF4E256" w14:textId="77777777" w:rsidR="009F561B" w:rsidRPr="009F561B" w:rsidRDefault="009F561B" w:rsidP="009F561B">
      <w:r w:rsidRPr="009F561B">
        <w:t xml:space="preserve">If the full dataset has 112.3 million long-format rows, even a 0.5% sample contains roughly 561,000 rows and a 1% sample roughly 1.12 million rows. Those are already large samples; </w:t>
      </w:r>
      <w:r w:rsidRPr="009F561B">
        <w:lastRenderedPageBreak/>
        <w:t>the limiting consideration will probably be coverage of factorial cells and the number of independent simulation replicates, rather than the overall row count.</w:t>
      </w:r>
    </w:p>
    <w:p w14:paraId="1AC8AE7A" w14:textId="77777777" w:rsidR="009F561B" w:rsidRDefault="009F561B"/>
    <w:sectPr w:rsidR="009F56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1D6F76"/>
    <w:multiLevelType w:val="multilevel"/>
    <w:tmpl w:val="B4C0AD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82422C"/>
    <w:multiLevelType w:val="multilevel"/>
    <w:tmpl w:val="CA76A1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1810100">
    <w:abstractNumId w:val="1"/>
  </w:num>
  <w:num w:numId="2" w16cid:durableId="649552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61B"/>
    <w:rsid w:val="001F2829"/>
    <w:rsid w:val="009F56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5D25B"/>
  <w15:chartTrackingRefBased/>
  <w15:docId w15:val="{C8417FC9-684D-4B29-80AE-A192022B6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56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56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56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56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56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56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56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56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56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6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56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56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56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56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56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6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6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61B"/>
    <w:rPr>
      <w:rFonts w:eastAsiaTheme="majorEastAsia" w:cstheme="majorBidi"/>
      <w:color w:val="272727" w:themeColor="text1" w:themeTint="D8"/>
    </w:rPr>
  </w:style>
  <w:style w:type="paragraph" w:styleId="Title">
    <w:name w:val="Title"/>
    <w:basedOn w:val="Normal"/>
    <w:next w:val="Normal"/>
    <w:link w:val="TitleChar"/>
    <w:uiPriority w:val="10"/>
    <w:qFormat/>
    <w:rsid w:val="009F56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6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6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56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61B"/>
    <w:pPr>
      <w:spacing w:before="160"/>
      <w:jc w:val="center"/>
    </w:pPr>
    <w:rPr>
      <w:i/>
      <w:iCs/>
      <w:color w:val="404040" w:themeColor="text1" w:themeTint="BF"/>
    </w:rPr>
  </w:style>
  <w:style w:type="character" w:customStyle="1" w:styleId="QuoteChar">
    <w:name w:val="Quote Char"/>
    <w:basedOn w:val="DefaultParagraphFont"/>
    <w:link w:val="Quote"/>
    <w:uiPriority w:val="29"/>
    <w:rsid w:val="009F561B"/>
    <w:rPr>
      <w:i/>
      <w:iCs/>
      <w:color w:val="404040" w:themeColor="text1" w:themeTint="BF"/>
    </w:rPr>
  </w:style>
  <w:style w:type="paragraph" w:styleId="ListParagraph">
    <w:name w:val="List Paragraph"/>
    <w:basedOn w:val="Normal"/>
    <w:uiPriority w:val="34"/>
    <w:qFormat/>
    <w:rsid w:val="009F561B"/>
    <w:pPr>
      <w:ind w:left="720"/>
      <w:contextualSpacing/>
    </w:pPr>
  </w:style>
  <w:style w:type="character" w:styleId="IntenseEmphasis">
    <w:name w:val="Intense Emphasis"/>
    <w:basedOn w:val="DefaultParagraphFont"/>
    <w:uiPriority w:val="21"/>
    <w:qFormat/>
    <w:rsid w:val="009F561B"/>
    <w:rPr>
      <w:i/>
      <w:iCs/>
      <w:color w:val="0F4761" w:themeColor="accent1" w:themeShade="BF"/>
    </w:rPr>
  </w:style>
  <w:style w:type="paragraph" w:styleId="IntenseQuote">
    <w:name w:val="Intense Quote"/>
    <w:basedOn w:val="Normal"/>
    <w:next w:val="Normal"/>
    <w:link w:val="IntenseQuoteChar"/>
    <w:uiPriority w:val="30"/>
    <w:qFormat/>
    <w:rsid w:val="009F56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561B"/>
    <w:rPr>
      <w:i/>
      <w:iCs/>
      <w:color w:val="0F4761" w:themeColor="accent1" w:themeShade="BF"/>
    </w:rPr>
  </w:style>
  <w:style w:type="character" w:styleId="IntenseReference">
    <w:name w:val="Intense Reference"/>
    <w:basedOn w:val="DefaultParagraphFont"/>
    <w:uiPriority w:val="32"/>
    <w:qFormat/>
    <w:rsid w:val="009F561B"/>
    <w:rPr>
      <w:b/>
      <w:bCs/>
      <w:smallCaps/>
      <w:color w:val="0F4761" w:themeColor="accent1" w:themeShade="BF"/>
      <w:spacing w:val="5"/>
    </w:rPr>
  </w:style>
  <w:style w:type="character" w:styleId="Hyperlink">
    <w:name w:val="Hyperlink"/>
    <w:basedOn w:val="DefaultParagraphFont"/>
    <w:uiPriority w:val="99"/>
    <w:unhideWhenUsed/>
    <w:rsid w:val="009F561B"/>
    <w:rPr>
      <w:color w:val="467886" w:themeColor="hyperlink"/>
      <w:u w:val="single"/>
    </w:rPr>
  </w:style>
  <w:style w:type="character" w:styleId="UnresolvedMention">
    <w:name w:val="Unresolved Mention"/>
    <w:basedOn w:val="DefaultParagraphFont"/>
    <w:uiPriority w:val="99"/>
    <w:semiHidden/>
    <w:unhideWhenUsed/>
    <w:rsid w:val="009F56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9362942">
      <w:bodyDiv w:val="1"/>
      <w:marLeft w:val="0"/>
      <w:marRight w:val="0"/>
      <w:marTop w:val="0"/>
      <w:marBottom w:val="0"/>
      <w:divBdr>
        <w:top w:val="none" w:sz="0" w:space="0" w:color="auto"/>
        <w:left w:val="none" w:sz="0" w:space="0" w:color="auto"/>
        <w:bottom w:val="none" w:sz="0" w:space="0" w:color="auto"/>
        <w:right w:val="none" w:sz="0" w:space="0" w:color="auto"/>
      </w:divBdr>
      <w:divsChild>
        <w:div w:id="1019426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7319639">
      <w:bodyDiv w:val="1"/>
      <w:marLeft w:val="0"/>
      <w:marRight w:val="0"/>
      <w:marTop w:val="0"/>
      <w:marBottom w:val="0"/>
      <w:divBdr>
        <w:top w:val="none" w:sz="0" w:space="0" w:color="auto"/>
        <w:left w:val="none" w:sz="0" w:space="0" w:color="auto"/>
        <w:bottom w:val="none" w:sz="0" w:space="0" w:color="auto"/>
        <w:right w:val="none" w:sz="0" w:space="0" w:color="auto"/>
      </w:divBdr>
      <w:divsChild>
        <w:div w:id="1515343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rxiv.org/abs/1702.0116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1097</Words>
  <Characters>6258</Characters>
  <Application>Microsoft Office Word</Application>
  <DocSecurity>0</DocSecurity>
  <Lines>52</Lines>
  <Paragraphs>14</Paragraphs>
  <ScaleCrop>false</ScaleCrop>
  <Company>NOAA Fisheries</Company>
  <LinksUpToDate>false</LinksUpToDate>
  <CharactersWithSpaces>7341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Brodziak</dc:creator>
  <cp:keywords/>
  <dc:description/>
  <cp:lastModifiedBy>Jon Brodziak</cp:lastModifiedBy>
  <cp:revision>1</cp:revision>
  <dcterms:created xsi:type="dcterms:W3CDTF">2026-09-18T22:10:00Z</dcterms:created>
  <dcterms:modified xsi:type="dcterms:W3CDTF">2026-09-18T22:11:00Z</dcterms:modified>
</cp:coreProperties>
</file>