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t>Integrated Analysis of Compositional Likelihood Estimation Accuracy</w:t>
      </w:r>
    </w:p>
    <w:p>
      <w:pPr>
        <w:spacing w:after="320"/>
        <w:jc w:val="center"/>
      </w:pPr>
      <w:r>
        <w:rPr>
          <w:i/>
          <w:sz w:val="24"/>
        </w:rPr>
        <w:t>Synthesis of MANOVA mixed effects pairwise factorial and GAM evidence for methods i through v</w:t>
      </w:r>
    </w:p>
    <w:p>
      <w:pPr>
        <w:spacing w:after="160"/>
      </w:pPr>
      <w:r>
        <w:rPr>
          <w:i/>
          <w:color w:val="5F5F5F"/>
          <w:sz w:val="18"/>
        </w:rPr>
        <w:t>Integrated analysis of the Code A Code B Code C D and Code E K9 statistical reports</w:t>
      </w:r>
    </w:p>
    <w:p>
      <w:pPr>
        <w:spacing w:after="120" w:line="259" w:lineRule="auto"/>
      </w:pPr>
      <w:r>
        <w:t>The four analyses consistently identify the number of groups G, the dispersion parameter sigma, and mean sample size as the principal experimental determinants of estimation error. Method effects are real but smaller, and the strongest changes in relative performance occur through method-by-G and method-by-sigma interactions. The evidence supports a leading tier composed of methods v and iii. Method v has the best full-design paired error ratios and the least composition-dependent GAM surface; method iii has the best mixed-model average and is the strongest conditional competitor, particularly for RMSE. Method iv is the most defensible third choice, method i is a condition-specific RMSE specialist, and method ii is generally least accurate.</w:t>
      </w:r>
    </w:p>
    <w:p>
      <w:pPr>
        <w:spacing w:after="120" w:line="259" w:lineRule="auto"/>
      </w:pPr>
      <w:r>
        <w:rPr>
          <w:b/>
        </w:rPr>
        <w:t>Integrated ranking.</w:t>
      </w:r>
      <w:r>
        <w:t xml:space="preserve"> The best-supported general-purpose ordering is v, iii, iv, i, ii, with v and iii treated as a close leading tier rather than as universally separated estimators. This ordering gives greatest weight to paired comparisons averaged over the full factorial design, consistency across RMSE, L1, and Linf, adjustment for simplex-unit dependence, and robustness across the p1-p2 simplex. It does not imply that v is best in every cell: the mixed model favors iii overall at its reference condition and favors i for RMSE, while the GAM favors iii for conditional RMSE.</w:t>
      </w:r>
    </w:p>
    <w:p>
      <w:pPr>
        <w:spacing w:after="120" w:line="259" w:lineRule="auto"/>
      </w:pPr>
      <w:r>
        <w:rPr>
          <w:b/>
        </w:rPr>
        <w:t>Scale qualification.</w:t>
      </w:r>
      <w:r>
        <w:t xml:space="preserve"> The reports do not analyze a single common response transformation. Codes A and B use log or log1p error summaries, Code C D uses log(error + 10^-6) pairwise differences, and Code E uses log1p(error), with an unsigned log1p absolute-gap model for v versus iii. Numerical contrasts therefore answer related but not identical questions and should not be pooled as if they were estimates of one common parameter.</w:t>
      </w:r>
    </w:p>
    <w:p>
      <w:pPr>
        <w:pStyle w:val="Heading1"/>
      </w:pPr>
      <w:r>
        <w:t>1 Analysis Framework and Reconciliation</w:t>
      </w:r>
    </w:p>
    <w:p>
      <w:pPr>
        <w:spacing w:after="120" w:line="259" w:lineRule="auto"/>
      </w:pPr>
      <w:r>
        <w:t>The synthesis combines four complementary perspectives. Code A estimates omnibus multivariate and univariate effects and approximate partial eta-squared values. Code B accounts for repeated observations within simplex units and provides Type III tests and Holm-adjusted estimated marginal means. Code C D gives direct paired geometric error ratios and factorial sensitivity of every method pair. Code E characterizes nonlinear p1-p2 surfaces and checks whether method rankings are compositionally stable. Their disagreements are informative because each model averages over, conditions on, or transforms the design differently.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Report</w:t>
            </w:r>
          </w:p>
        </w:tc>
        <w:tc>
          <w:tcPr>
            <w:tcW w:type="dxa" w:w="29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Primary estimand</w:t>
            </w:r>
          </w:p>
        </w:tc>
        <w:tc>
          <w:tcPr>
            <w:tcW w:type="dxa" w:w="302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Principal contribution</w:t>
            </w:r>
          </w:p>
        </w:tc>
        <w:tc>
          <w:tcPr>
            <w:tcW w:type="dxa" w:w="29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Key limitation</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Code A</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Joint log RMSE-L1 profile plus separate log Linf ANOVA</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Effect-size hierarchy and reference-condition comparisons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Sequential sums of squares; pairing not modeled directly</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Code B</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Weighted mean log1p accuracy with simplex random intercept</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Cluster-aware Type III tests and EMMs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Reference-condition and equal-metric ranking; random intercept only</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Code C D</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Paired log(error + epsilon) differences for RMSE L1 Linf</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Full-design pairwise ratios and gap sensitivity</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Omnibus factor tests do not locate crossovers</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Code 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Global log1p error and nonlinear simplex smooths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Composition-specific robustness and diagnostics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v-iii gap is absolute and unsigned</w:t>
            </w:r>
          </w:p>
        </w:tc>
      </w:tr>
    </w:tbl>
    <w:p>
      <w:pPr>
        <w:spacing w:after="0"/>
      </w:pPr>
    </w:p>
    <w:p>
      <w:pPr>
        <w:spacing w:after="120" w:line="259" w:lineRule="auto"/>
      </w:pPr>
      <w:r>
        <w:t>The sample sizes are extremely large: Codes A, C D, and E use 637,997 sampled simplex units, while Code B uses 638,604 units and 9,579,060 method-by-metric records. Consequently, p values mainly document detectability. Practical interpretation should emphasize effect sizes, error ratios, conditional EMMs, interaction magnitude, and diagnostic adequacy.</w:t>
      </w:r>
    </w:p>
    <w:p>
      <w:pPr>
        <w:pStyle w:val="Heading1"/>
      </w:pPr>
      <w:r>
        <w:t>2 Evidence on Relative Method Performance</w:t>
      </w:r>
    </w:p>
    <w:p>
      <w:pPr>
        <w:spacing w:after="120" w:line="259" w:lineRule="auto"/>
      </w:pPr>
      <w:r>
        <w:t>The strongest common result is that methods v and iii outperform the remaining methods over most summaries. The principal disagreement concerns which member of that leading pair ranks first and whether method i becomes competitive for RMSE under the mixed-model reference condition.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65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Analysis</w:t>
            </w:r>
          </w:p>
        </w:tc>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RMSE</w:t>
            </w:r>
          </w:p>
        </w:tc>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L1</w:t>
            </w:r>
          </w:p>
        </w:tc>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Linf</w:t>
            </w:r>
          </w:p>
        </w:tc>
        <w:tc>
          <w:tcPr>
            <w:tcW w:type="dxa" w:w="28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Overall implication</w:t>
            </w:r>
          </w:p>
        </w:tc>
      </w:tr>
      <w:tr>
        <w:trPr>
          <w:cantSplit/>
        </w:trP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Code A EMMs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iii about v then iv ii 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iii about v then iv ii 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v about iii then iv ii i</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iii and v form one leading group</w:t>
            </w:r>
          </w:p>
        </w:tc>
      </w:tr>
      <w:tr>
        <w:trPr>
          <w:cantSplit/>
        </w:trP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Code B mixed model</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i then iii then v about iv then ii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iii then v i iv ii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iii then i v iv ii</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iii best equal-metric average; i is an RMSE specialist</w:t>
            </w:r>
          </w:p>
        </w:tc>
      </w:tr>
      <w:tr>
        <w:trPr>
          <w:cantSplit/>
        </w:trP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Code C D paired ratios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v iii iv i ii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v iii iv i ii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v iii iv i ii</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v leads over the full design for every metric</w:t>
            </w:r>
          </w:p>
        </w:tc>
      </w:tr>
      <w:tr>
        <w:trPr>
          <w:cantSplit/>
        </w:trP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Code E GAM</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iii v iv i ii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v iii iv i ii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v about iii then iv i ii</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v is most compositionally stable; iii leads conditional RMSE</w:t>
            </w:r>
          </w:p>
        </w:tc>
      </w:tr>
    </w:tbl>
    <w:p>
      <w:pPr>
        <w:spacing w:after="0"/>
      </w:pPr>
    </w:p>
    <w:p>
      <w:pPr>
        <w:spacing w:after="120" w:line="259" w:lineRule="auto"/>
      </w:pPr>
      <w:r>
        <w:t>Code C D supplies the most direct full-design magnitude comparison. Relative to iii, method v reduces epsilon-adjusted error by 2.09% for RMSE, 1.99% for L1, and 2.33% for Linf. Relative to i, the reductions are 6.43%, 5.90%, and 7.23%; relative to ii, they are 11.66%, 11.29%, and 12.22%. These gains are modest for v versus iii but consistent in sign across all metrics. Code A, by contrast, finds no significant iii-v difference after Holm adjustment at its reference condition, and Code B ranks iii first overall. The appropriate conclusion is a close top tier, not universal dominance.</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79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Integrated rank</w:t>
            </w:r>
          </w:p>
        </w:tc>
        <w:tc>
          <w:tcPr>
            <w:tcW w:type="dxa" w:w="79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Method</w:t>
            </w:r>
          </w:p>
        </w:tc>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Best-supported role</w:t>
            </w:r>
          </w:p>
        </w:tc>
        <w:tc>
          <w:tcPr>
            <w:tcW w:type="dxa" w:w="37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Evidence supporting placement</w:t>
            </w:r>
          </w:p>
        </w:tc>
        <w:tc>
          <w:tcPr>
            <w:tcW w:type="dxa" w:w="280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Important qualification</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1</w:t>
            </w:r>
          </w:p>
        </w:tc>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v</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Default general-purpose estimator</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Best paired full-design ratios; leading L1 and Linf GAM contrasts; least p1-p2 dependence</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Only narrowly better than iii in aggregate; not first in Code B or conditional RMSE</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2</w:t>
            </w:r>
          </w:p>
        </w:tc>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iii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Closest general-purpose alternative</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Best mixed-model average; leading L1 and Linf EMMs; strongest conditional RMSE</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Approximately 2% above v in paired aggregate ratios</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3</w:t>
            </w:r>
          </w:p>
        </w:tc>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iv</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Intermediate fallback</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Third in Code A, Code C D, and Code E; consistently improves on i in aggregate</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Fourth in Code B and can be sensitive to G, theta true, and sample size</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4</w:t>
            </w:r>
          </w:p>
        </w:tc>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RMSE specialist</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Best RMSE EMM in Code B; second overall in that reference analysis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Fourth in paired aggregate results; strongest composition dependence</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5</w:t>
            </w:r>
          </w:p>
        </w:tc>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ii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Generally least preferred</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Largest error in Code B, Code C D, and Code E</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Ranks above i in Code A reference EMMs, showing condition dependence</w:t>
            </w:r>
          </w:p>
        </w:tc>
      </w:tr>
    </w:tbl>
    <w:p>
      <w:pPr>
        <w:spacing w:after="0"/>
      </w:pPr>
    </w:p>
    <w:p>
      <w:pPr>
        <w:pStyle w:val="Heading1"/>
      </w:pPr>
      <w:r>
        <w:t>3 Metric Specific Accuracy Results</w:t>
      </w:r>
    </w:p>
    <w:p>
      <w:pPr>
        <w:pStyle w:val="Heading2"/>
      </w:pPr>
      <w:r>
        <w:t>3.1 Root Mean Squared Error</w:t>
      </w:r>
    </w:p>
    <w:p>
      <w:pPr>
        <w:spacing w:after="120" w:line="259" w:lineRule="auto"/>
      </w:pPr>
      <w:r>
        <w:t>RMSE produces the clearest evidence of specialization. Code C D ranks v first across the full design, Code E gives iii the lowest conditional contrast, Code A places iii and v in the same best group, and Code B places i first at its low-G low-sigma reference condition. Thus, i can be highly competitive in a favorable reference cell, but v and iii are better supported as broad-design RMSE choices.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Factor</w:t>
            </w:r>
          </w:p>
        </w:tc>
        <w:tc>
          <w:tcPr>
            <w:tcW w:type="dxa" w:w="252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Global error influence</w:t>
            </w:r>
          </w:p>
        </w:tc>
        <w:tc>
          <w:tcPr>
            <w:tcW w:type="dxa" w:w="29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Influence on method gaps</w:t>
            </w:r>
          </w:p>
        </w:tc>
        <w:tc>
          <w:tcPr>
            <w:tcW w:type="dxa" w:w="309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RMSE interpretation</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G</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Partial eta squared 0.185; F 362,540</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Median pairwise F 11,381; method-by-G eta squared 0.0218</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Largest global driver; changing G can materially reorder methods</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sigma</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Partial eta squared 0.138; F 254,310</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Median pairwise F 12,874; method-by-sigma eta squared 0.0184</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Largest average driver of pairwise gaps; higher noise raises error</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Mean sample size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Partial eta squared 0.043; F 71,886</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Median pairwise F 2,409; interaction eta squared 0.0037</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More information lowers error; ranking changes are secondary</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Distribution and theta true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Eta squared 0.0167 and 0.0099</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Median F 484 and 1,533</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Moderate adjustments; theta true generally lowers fitted error</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theta CV and p1 p2</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Eta squared 0.0005; p1 p2 null in Code A</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Median theta CV F 51; coordinates near zero</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Little practical influence on RMSE gaps</w:t>
            </w:r>
          </w:p>
        </w:tc>
      </w:tr>
    </w:tbl>
    <w:p>
      <w:pPr>
        <w:spacing w:after="0"/>
      </w:pPr>
    </w:p>
    <w:p>
      <w:pPr>
        <w:spacing w:after="120" w:line="259" w:lineRule="auto"/>
      </w:pPr>
      <w:r>
        <w:t>The method-by-G and method-by-sigma interactions are large enough that a single RMSE ranking should not be extrapolated to every condition. Code A shows methods ii-v benefiting more than i at G = 8, while method i has a comparatively flat high-sigma slope but begins from a less favorable overall level. Code C D nevertheless finds lower aggregate RMSE for v than for every competitor, so the conditional advantage of i should be described as specialization rather than global superiority.</w:t>
      </w:r>
    </w:p>
    <w:p>
      <w:pPr>
        <w:pStyle w:val="Heading2"/>
      </w:pPr>
      <w:r>
        <w:t>3.2 L1 Error</w:t>
      </w:r>
    </w:p>
    <w:p>
      <w:pPr>
        <w:spacing w:after="120" w:line="259" w:lineRule="auto"/>
      </w:pPr>
      <w:r>
        <w:t>L1 most consistently favors the v-iii leading tier. Codes C D and E rank v first, Code B ranks iii first, and Code A treats iii and v as statistically indistinguishable. Because L1 aggregates absolute component errors, its strong agreement across models is persuasive evidence that neither leader relies on offsetting large component deviations.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Factor</w:t>
            </w:r>
          </w:p>
        </w:tc>
        <w:tc>
          <w:tcPr>
            <w:tcW w:type="dxa" w:w="252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Global error influence</w:t>
            </w:r>
          </w:p>
        </w:tc>
        <w:tc>
          <w:tcPr>
            <w:tcW w:type="dxa" w:w="29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Influence on method gaps</w:t>
            </w:r>
          </w:p>
        </w:tc>
        <w:tc>
          <w:tcPr>
            <w:tcW w:type="dxa" w:w="309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L1 interpretation</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G</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Partial eta squared 0.278; F 615,360</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Median pairwise F 10,796; method-by-G eta squared 0.0165</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Largest global effect and strongest metric-specific effect size</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sigma</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Partial eta squared 0.198; F 393,470</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Median pairwise F 13,725; method-by-sigma eta squared 0.0167</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Slightly larger than G for between-method gap sensitivity</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Mean sample size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Partial eta squared 0.084; F 145,500</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Median pairwise F 2,214; interaction eta squared 0.0028</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Strongest sample-size influence among the three metrics</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Distribution and theta true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Eta squared 0.0242 and 0.0196</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Median F 260 and 1,703</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Moderate effects; theta true affects some pairs appreciably</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theta CV and p1 p2</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Eta squared 0.0009; coordinate effects null or marginal</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Median theta CV F 53; coordinates near zero</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Negligible practical impact</w:t>
            </w:r>
          </w:p>
        </w:tc>
      </w:tr>
    </w:tbl>
    <w:p>
      <w:pPr>
        <w:spacing w:after="0"/>
      </w:pPr>
    </w:p>
    <w:p>
      <w:pPr>
        <w:spacing w:after="120" w:line="259" w:lineRule="auto"/>
      </w:pPr>
      <w:r>
        <w:t>For L1, method v is the preferred default because it leads in the direct paired ratios and the GAM, while method iii remains statistically tied with v in Code A and leads in the cluster-aware mixed model. Method iv is the most consistent third-place method. The ordering among i and ii varies by reference condition, but aggregate paired evidence and three of the four reports place ii last.</w:t>
      </w:r>
    </w:p>
    <w:p>
      <w:pPr>
        <w:pStyle w:val="Heading2"/>
      </w:pPr>
      <w:r>
        <w:t>3.3 Maximum Absolute Error</w:t>
      </w:r>
    </w:p>
    <w:p>
      <w:pPr>
        <w:spacing w:after="120" w:line="259" w:lineRule="auto"/>
      </w:pPr>
      <w:r>
        <w:t>Linf confirms that the leading methods do not obtain favorable average error by tolerating a poor worst component. Code C D ranks v first and reports a 2.33% Linf reduction relative to iii, a 7.23% reduction relative to i, and a 12.22% reduction relative to ii. Codes A and E treat v and iii as nearly tied, whereas Code B ranks iii first and i second at its reference condition.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Factor</w:t>
            </w:r>
          </w:p>
        </w:tc>
        <w:tc>
          <w:tcPr>
            <w:tcW w:type="dxa" w:w="252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Global error influence</w:t>
            </w:r>
          </w:p>
        </w:tc>
        <w:tc>
          <w:tcPr>
            <w:tcW w:type="dxa" w:w="29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Influence on method gaps</w:t>
            </w:r>
          </w:p>
        </w:tc>
        <w:tc>
          <w:tcPr>
            <w:tcW w:type="dxa" w:w="309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4"/>
              </w:rPr>
              <w:t>Linf interpretation</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G</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Partial eta squared 0.134; F 246,810</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Median pairwise F 7,611; method-by-G eta squared 0.0211</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Largest global effect and largest Code A interaction</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sigma</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Partial eta squared 0.106; F 188,660</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Median pairwise F 11,774; method-by-sigma eta squared 0.0170</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Largest average driver of pairwise Linf gaps</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Mean sample size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Partial eta squared 0.0256; F 41,847</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Median pairwise F 2,435; interaction eta squared 0.0036</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Consistent reduction in maximum error with more information</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Distribution and theta true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Eta squared 0.0124 and 0.0061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Median F 530 and 1,154</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4"/>
              </w:rPr>
              <w:t>Smaller but repeatable influences</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theta CV and p1 p2</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Eta squared 0.0003; coordinates null</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Median theta CV F 51; coordinate F below 2.42</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4"/>
              </w:rPr>
              <w:t>Practically negligible</w:t>
            </w:r>
          </w:p>
        </w:tc>
      </w:tr>
    </w:tbl>
    <w:p>
      <w:pPr>
        <w:spacing w:after="0"/>
      </w:pPr>
    </w:p>
    <w:p>
      <w:pPr>
        <w:spacing w:after="120" w:line="259" w:lineRule="auto"/>
      </w:pPr>
      <w:r>
        <w:t>The Code A coefficient pattern shows why Linf rankings can change: methods iv and v benefit strongly at larger sample sizes and larger G, whereas method i changes less under high sigma but remains worse in level. Accordingly, method i may be useful when RMSE is prioritized in a favorable reference setting, but its Linf evidence is not sufficiently consistent to displace v or iii as a general estimator.</w:t>
      </w:r>
    </w:p>
    <w:p>
      <w:pPr>
        <w:pStyle w:val="Heading1"/>
      </w:pPr>
      <w:r>
        <w:t>4 Experimental Factor Hierarchy</w:t>
      </w:r>
    </w:p>
    <w:p>
      <w:pPr>
        <w:spacing w:after="120" w:line="259" w:lineRule="auto"/>
      </w:pPr>
      <w:r>
        <w:t>Across all metrics and model classes, G and sigma are the dominant experimental factors, followed by mean sample size. Theta true and sampling-distribution block are moderate, theta CV is weak, and p1 and p2 have negligible linear main effects. The apparent reversal between G and sigma depends on the estimand: G is usually largest for absolute error levels, whereas sigma is often largest for pairwise method gaps.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0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Overall order</w:t>
            </w:r>
          </w:p>
        </w:tc>
        <w:tc>
          <w:tcPr>
            <w:tcW w:type="dxa" w:w="165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Factor</w:t>
            </w:r>
          </w:p>
        </w:tc>
        <w:tc>
          <w:tcPr>
            <w:tcW w:type="dxa" w:w="324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Direction of error effect</w:t>
            </w:r>
          </w:p>
        </w:tc>
        <w:tc>
          <w:tcPr>
            <w:tcW w:type="dxa" w:w="424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Role in method comparisons</w:t>
            </w:r>
          </w:p>
        </w:tc>
      </w:tr>
      <w:tr>
        <w:trPr>
          <w:cantSplit/>
        </w:trP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1</w:t>
            </w:r>
          </w:p>
        </w:tc>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G</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Larger G generally lowers fitted error</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Co-dominant interaction; changes benefits of iii-v relative to i and ii</w:t>
            </w:r>
          </w:p>
        </w:tc>
      </w:tr>
      <w:tr>
        <w:trPr>
          <w:cantSplit/>
        </w:trP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2</w:t>
            </w:r>
          </w:p>
        </w:tc>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sigma</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Higher dispersion increases error</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Often the largest gap driver, especially v versus iii and v versus iv</w:t>
            </w:r>
          </w:p>
        </w:tc>
      </w:tr>
      <w:tr>
        <w:trPr>
          <w:cantSplit/>
        </w:trP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3</w:t>
            </w:r>
          </w:p>
        </w:tc>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Mean sample size</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Larger samples lower error</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Secondary interaction; especially important for L1 and the iv-iii gap</w:t>
            </w:r>
          </w:p>
        </w:tc>
      </w:tr>
      <w:tr>
        <w:trPr>
          <w:cantSplit/>
        </w:trP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4 to 5</w:t>
            </w:r>
          </w:p>
        </w:tc>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theta true</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Higher values generally lower fitted error</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Moderate pair-specific sensitivity, especially iii versus iv</w:t>
            </w:r>
          </w:p>
        </w:tc>
      </w:tr>
      <w:tr>
        <w:trPr>
          <w:cantSplit/>
        </w:trP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4 to 5</w:t>
            </w:r>
          </w:p>
        </w:tc>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Distribution block</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Poisson and negative-binomial blocks were lower than the GAM reference block</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Small-to-moderate method dependence</w:t>
            </w:r>
          </w:p>
        </w:tc>
      </w:tr>
      <w:tr>
        <w:trPr>
          <w:cantSplit/>
        </w:trP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6</w:t>
            </w:r>
          </w:p>
        </w:tc>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theta CV</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Small positive association with error</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Statistically detectable but practically weak</w:t>
            </w:r>
          </w:p>
        </w:tc>
      </w:tr>
      <w:tr>
        <w:trPr>
          <w:cantSplit/>
        </w:trP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7</w:t>
            </w:r>
          </w:p>
        </w:tc>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p1 and p2 linear terms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No stable linear main effect</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Negligible in ANOVA and pairwise MANOVA; nonlinear surfaces still matter by method</w:t>
            </w:r>
          </w:p>
        </w:tc>
      </w:tr>
    </w:tbl>
    <w:p>
      <w:pPr>
        <w:spacing w:after="0"/>
      </w:pPr>
    </w:p>
    <w:p>
      <w:pPr>
        <w:spacing w:after="120" w:line="259" w:lineRule="auto"/>
      </w:pPr>
      <w:r>
        <w:t>The nonlinear GAM results refine the near-null linear p1 and p2 findings. Method i has the most complex simplex surface (edf 17.29, F 190.47), methods ii-iv retain significant but weaker surfaces, and method v has no supported residual p1-p2 dependence (edf 6.03, F 1.06, p = 0.385). Therefore, p1 and p2 are not important as common linear shifts, but composition can still modify error nonlinearly and differently by method.</w:t>
      </w:r>
    </w:p>
    <w:p>
      <w:pPr>
        <w:pStyle w:val="Heading1"/>
      </w:pPr>
      <w:r>
        <w:t>5 Robustness Stability and Specialization</w:t>
      </w:r>
    </w:p>
    <w:p>
      <w:pPr>
        <w:spacing w:after="120" w:line="259" w:lineRule="auto"/>
      </w:pPr>
      <w:r>
        <w:t>Method v has the strongest evidence of compositional robustness. It combines the best paired full-design ratios with the flattest method-specific simplex response. The v-iii absolute gap varies nonlinearly over p1 and p2 for L1 and Linf but not RMSE; because this gap is unsigned, those surfaces measure separation magnitude and cannot identify local reversals.</w:t>
      </w:r>
    </w:p>
    <w:p>
      <w:pPr>
        <w:spacing w:after="120" w:line="259" w:lineRule="auto"/>
      </w:pPr>
      <w:r>
        <w:t>Method iii has the strongest evidence of multimetric balance under cluster-aware inference. In Code B it ranks first overall, first for L1 and Linf, and second for RMSE. Its advantage is scientifically important because the simplex-unit random intercept accounts for persistent environment-specific difficulty. The random-intercept variance is 0.001881 versus residual variance 0.004034, giving an ICC of 0.318. Approximately one-third of remaining variance is therefore associated with common simplex environments.</w:t>
      </w:r>
    </w:p>
    <w:p>
      <w:pPr>
        <w:spacing w:after="120" w:line="259" w:lineRule="auto"/>
      </w:pPr>
      <w:r>
        <w:t>Method i is a genuine specialist rather than a uniformly weak estimator. It is the best RMSE method in the Code B reference cell and second overall in that model, but it ranks fourth in the full-design paired analysis and has the strongest p1-p2 surface. Method iv is more consistently intermediate and is therefore placed above i in the general ranking. Method ii is last in three analyses and in every Code B metric, despite ranking above i in the Code A reference-condition EMMs.</w:t>
      </w:r>
    </w:p>
    <w:p>
      <w:pPr>
        <w:pStyle w:val="Heading1"/>
      </w:pPr>
      <w:r>
        <w:t>6 Statistical Reliability and Qualifications</w:t>
      </w:r>
    </w:p>
    <w:p>
      <w:pPr>
        <w:pStyle w:val="ListBullet"/>
        <w:spacing w:after="60" w:line="252" w:lineRule="auto"/>
      </w:pPr>
      <w:r>
        <w:t>Transformation differences matter. Code C D percentage changes are geometric ratios of epsilon-adjusted errors; Code E coefficient percentages apply to 1 plus error; Code A and Code B EMMs are transformed-scale conditional means.</w:t>
      </w:r>
    </w:p>
    <w:p>
      <w:pPr>
        <w:pStyle w:val="ListBullet"/>
        <w:spacing w:after="60" w:line="252" w:lineRule="auto"/>
      </w:pPr>
      <w:r>
        <w:t>The 2% subsamples still contain about 638,000 simplex units. Extremely small effects achieve overwhelming significance, so effect magnitude and consistency should dominate interpretation.</w:t>
      </w:r>
    </w:p>
    <w:p>
      <w:pPr>
        <w:pStyle w:val="ListBullet"/>
        <w:spacing w:after="60" w:line="252" w:lineRule="auto"/>
      </w:pPr>
      <w:r>
        <w:t>Code B appropriately models simplex-unit clustering, but its random-intercept structure does not allow method rankings to vary randomly among environments. Random method slopes or unit-level bootstrap contrasts would provide a stronger stability assessment.</w:t>
      </w:r>
    </w:p>
    <w:p>
      <w:pPr>
        <w:pStyle w:val="ListBullet"/>
        <w:spacing w:after="60" w:line="252" w:lineRule="auto"/>
      </w:pPr>
      <w:r>
        <w:t>Code E residual diagnostics show right tails, heteroscedasticity, and structured bands. Gaussian standard errors and p values may therefore be optimistic even though the fitted mean structure explains 69% of deviance.</w:t>
      </w:r>
    </w:p>
    <w:p>
      <w:pPr>
        <w:pStyle w:val="ListBullet"/>
        <w:spacing w:after="60" w:line="252" w:lineRule="auto"/>
      </w:pPr>
      <w:r>
        <w:t>The Code E v-iii difference response is log1p of an absolute raw-error gap, not a signed log-ratio. It cannot determine which method wins at a particular simplex location.</w:t>
      </w:r>
    </w:p>
    <w:p>
      <w:pPr>
        <w:pStyle w:val="ListBullet"/>
        <w:spacing w:after="60" w:line="252" w:lineRule="auto"/>
      </w:pPr>
      <w:r>
        <w:t>The analyses omit or do not reconcile the Log-uniform design block described in the design script, and the K9 output label differs from the K value stated in that script. These run details should be resolved before publication.</w:t>
      </w:r>
    </w:p>
    <w:p>
      <w:pPr>
        <w:pStyle w:val="Heading1"/>
      </w:pPr>
      <w:r>
        <w:t>7 Integrated Ranking and Recommendation</w:t>
      </w:r>
    </w:p>
    <w:p>
      <w:pPr>
        <w:spacing w:after="120" w:line="259" w:lineRule="auto"/>
      </w:pPr>
      <w:r>
        <w:t>The integrated ranking prioritizes four criteria: performance averaged over the full factorial design, agreement across RMSE, L1, and Linf, inference that respects paired simplex units, and stability across the composition simplex. On those criteria, v and iii are clearly separated from the remaining methods but only weakly separated from each other.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Tier</w:t>
            </w:r>
          </w:p>
        </w:tc>
        <w:tc>
          <w:tcPr>
            <w:tcW w:type="dxa" w:w="15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Methods</w:t>
            </w:r>
          </w:p>
        </w:tc>
        <w:tc>
          <w:tcPr>
            <w:tcW w:type="dxa" w:w="35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Recommendation</w:t>
            </w:r>
          </w:p>
        </w:tc>
        <w:tc>
          <w:tcPr>
            <w:tcW w:type="dxa" w:w="367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center"/>
            </w:pPr>
            <w:r>
              <w:rPr>
                <w:b/>
                <w:color w:val="FFFFFF"/>
                <w:sz w:val="15"/>
              </w:rPr>
              <w:t>Decision rule</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Leading</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v and iii</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Use v as the default and iii as the mandatory comparator</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Prefer v for aggregate robustness and Linf or L1; consider iii when RMSE or mixed-model EMMs are primary</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Intermediate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iv</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Retain as a secondary benchmark</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Most appropriate when a stable middle performer is needed and favorable large-sample conditions apply</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Specialized</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i</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Use only with an RMSE-focused validation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tcPr>
          <w:p>
            <w:pPr>
              <w:spacing w:after="0" w:line="240" w:lineRule="auto"/>
              <w:jc w:val="left"/>
            </w:pPr>
            <w:r>
              <w:rPr>
                <w:sz w:val="15"/>
              </w:rPr>
              <w:t>Can lead RMSE at the Code B reference condition but lacks broad-design and simplex robustness</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Least preferred</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ii</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Do not select on accuracy alone without cell-specific evidence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tcPr>
          <w:p>
            <w:pPr>
              <w:spacing w:after="0" w:line="240" w:lineRule="auto"/>
              <w:jc w:val="left"/>
            </w:pPr>
            <w:r>
              <w:rPr>
                <w:sz w:val="15"/>
              </w:rPr>
              <w:t>Generally highest error; any use should be justified by non-accuracy considerations</w:t>
            </w:r>
          </w:p>
        </w:tc>
      </w:tr>
    </w:tbl>
    <w:p>
      <w:pPr>
        <w:spacing w:after="0"/>
      </w:pPr>
    </w:p>
    <w:p>
      <w:pPr>
        <w:spacing w:after="120" w:line="259" w:lineRule="auto"/>
      </w:pPr>
      <w:r>
        <w:rPr>
          <w:b/>
        </w:rPr>
        <w:t>Best-supported assessment.</w:t>
      </w:r>
      <w:r>
        <w:t xml:space="preserve"> Method v is the preferred general-purpose estimator because it is first for all three full-design paired error ratios, shows no Linf penalty, and has the least residual dependence on p1-p2 composition. Method iii is a close co-leader: it is the best estimator in the cluster-aware mixed model, leads L1 and Linf there, and provides the strongest conditional RMSE result in the GAM. The roughly 2% aggregate advantage of v over iii is consistent but small relative to the effects of G, sigma, and sample size, so both should be retained in sensitivity analyses. Method iv is the most defensible third choice, method i is an RMSE specialist whose advantage is conditional, and method ii has the weakest overall support. This conclusion applies to the simulated design range and should be verified with factor-level contrasts at each G, sigma, and sample-size combination before claiming universal cellwise dominance.</w:t>
      </w:r>
    </w:p>
    <w:p>
      <w:pPr>
        <w:pStyle w:val="Heading1"/>
      </w:pPr>
      <w:r>
        <w:t>Recommended Confirmatory Analyses</w:t>
      </w:r>
    </w:p>
    <w:p>
      <w:pPr>
        <w:pStyle w:val="ListBullet"/>
        <w:spacing w:after="20" w:line="240" w:lineRule="auto"/>
      </w:pPr>
      <w:r>
        <w:rPr>
          <w:sz w:val="18"/>
        </w:rPr>
        <w:t>Estimate method-by-G-by-sigma-by-sample-size marginal means with simultaneous contrasts, emphasizing v versus iii and iii versus i for RMSE.</w:t>
      </w:r>
    </w:p>
    <w:p>
      <w:pPr>
        <w:pStyle w:val="ListBullet"/>
        <w:spacing w:after="20" w:line="240" w:lineRule="auto"/>
      </w:pPr>
      <w:r>
        <w:rPr>
          <w:sz w:val="18"/>
        </w:rPr>
        <w:t>Fit random method slopes or bootstrap entire simplex units to quantify environment-specific ranking changes.</w:t>
      </w:r>
    </w:p>
    <w:p>
      <w:pPr>
        <w:pStyle w:val="ListBullet"/>
        <w:spacing w:after="20" w:line="240" w:lineRule="auto"/>
      </w:pPr>
      <w:r>
        <w:rPr>
          <w:sz w:val="18"/>
        </w:rPr>
        <w:t>Report back-transformed error ratios and intervals under each exact transformation and zero convention.</w:t>
      </w:r>
    </w:p>
    <w:p>
      <w:pPr>
        <w:pStyle w:val="ListBullet"/>
        <w:spacing w:after="20" w:line="240" w:lineRule="auto"/>
      </w:pPr>
      <w:r>
        <w:rPr>
          <w:sz w:val="18"/>
        </w:rPr>
        <w:t>Refit the v-iii GAM with a signed log-ratio response and simultaneous bands to map local superiority.</w:t>
      </w:r>
    </w:p>
    <w:p>
      <w:pPr>
        <w:pStyle w:val="ListBullet"/>
        <w:spacing w:after="20" w:line="240" w:lineRule="auto"/>
      </w:pPr>
      <w:r>
        <w:rPr>
          <w:sz w:val="18"/>
        </w:rPr>
        <w:t>Use metric-specific or robust variance models and stratified diagnostics near simplex boundaries.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color w:val="5F5F5F"/>
        <w:sz w:val="17"/>
      </w:rPr>
      <w:t xml:space="preserve">Integrated accuracy synthesis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pPr>
    <w:rPr>
      <w:rFonts w:ascii="Aptos" w:hAnsi="Apto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Factorial Analysis of Proportion Estimation Accuracy</dc:title>
  <dc:subject>MANOVA and univariate ANOVA synthesis for methods i through v</dc:subject>
  <dc:creator/>
  <cp:keywords>MANOVA, ANOVA, proportion estimation, RMSE, L1, Linf</cp:keywords>
  <dc:description>generated by python-docx</dc:description>
  <cp:lastModifiedBy/>
  <cp:revision>1</cp:revision>
  <dcterms:created xsi:type="dcterms:W3CDTF">2013-12-23T23:15:00Z</dcterms:created>
  <dcterms:modified xsi:type="dcterms:W3CDTF">2013-12-23T23:15:00Z</dcterms:modified>
  <cp:category/>
</cp:coreProperties>
</file>