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Pairwise Multivariate and Factorial Analysis of Compositional Likelihood Accuracy</w:t>
      </w:r>
    </w:p>
    <w:p>
      <w:pPr>
        <w:pStyle w:val="Subtitle"/>
        <w:jc w:val="center"/>
      </w:pPr>
      <w:r>
        <w:t>Formal statistical memorandum for estimation methods i through v</w:t>
      </w:r>
    </w:p>
    <w:p>
      <w:pPr>
        <w:pStyle w:val="SourceNote"/>
        <w:spacing w:after="120" w:line="259" w:lineRule="auto"/>
      </w:pPr>
      <w:r>
        <w:t>Analysis of results-code-C-K9.txt and results-code-D-K9.txt using the report format of summary-results-code-A.docx</w:t>
      </w:r>
    </w:p>
    <w:p>
      <w:pPr>
        <w:spacing w:after="120" w:line="259" w:lineRule="auto"/>
      </w:pPr>
      <w:r>
        <w:t>The evidence establishes an unambiguous aggregate ordering across all three error criteria: method v is best, followed by iii, iv, i, and ii. Every pairwise mean error vector differs with overwhelming statistical evidence, not merely marginal significance. Relative to method i, method v reduces RMSE, L1, and Linf by 6.43%, 5.90%, and 7.23%; method iii reduces them by 4.43%, 3.99%, and 5.02%. Method v also improves on method iii by 2.09%, 1.99%, and 2.33%. The close agreement of rankings across RMSE, L1, and Linf supports method v as the most robust general-purpose estimator.</w:t>
      </w:r>
    </w:p>
    <w:p>
      <w:pPr>
        <w:spacing w:after="120" w:line="259" w:lineRule="auto"/>
      </w:pPr>
      <w:r>
        <w:t>The factorial models show that performance gaps are condition-dependent. Across the ten pairwise contrasts, sigma and G are the dominant drivers, mean sample size and theta true are secondary, and theta CV is weak. The simplex coordinates p1 and p2 are practically negligible. Sensitivity is method-pair specific: sigma especially separates v from iii and iv, whereas G, theta true, and mean sample size strongly separate iii from iv. These tests establish that gaps vary across factor levels, but the supplied output contains no level-specific fitted means or higher-order interactions; it therefore cannot identify the direction of change, a crossover threshold, or a condition in which an inferior method definitively overtakes a leader.</w:t>
      </w:r>
    </w:p>
    <w:p>
      <w:pPr>
        <w:pStyle w:val="Heading1"/>
      </w:pPr>
      <w:r>
        <w:t>Analysis Context and Scale</w:t>
      </w:r>
    </w:p>
    <w:p>
      <w:pPr>
        <w:spacing w:after="120" w:line="259" w:lineRule="auto"/>
      </w:pPr>
      <w:r>
        <w:t>Code C analyzed 637,997 complete paired simplex units, a realized 2.000017% sample of 31,899,582 available units. For each method pair, a one-sample three-response MANOVA tested whether the mean vector of target-minus-reference log-errors was zero. Code D analyzed the same number of rows using additive factorial MANOVAs for each pairwise difference vector. The joint responses were RMSE, L1, and Linf.</w:t>
      </w:r>
    </w:p>
    <w:p>
      <w:pPr>
        <w:spacing w:after="120" w:line="259" w:lineRule="auto"/>
      </w:pPr>
      <w:r>
        <w:rPr>
          <w:b/>
        </w:rPr>
        <w:t>Transformation and interpretation.</w:t>
      </w:r>
      <w:r>
        <w:t xml:space="preserve"> The actual transformation printed in Code C is log(error + 10^-6). For a contrast delta = log(error_target + eps) - log(error_reference + eps), exp(delta) is the ratio of epsilon-adjusted errors and 100[exp(delta) - 1] is the corresponding percentage change. Negative values favor the target method. This is essentially a raw error ratio when both errors are appreciably larger than 10^-6, but it should not be described as exact for errors near zero.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Component</w:t>
            </w:r>
          </w:p>
        </w:tc>
        <w:tc>
          <w:tcPr>
            <w:tcW w:type="dxa" w:w="41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Specification</w:t>
            </w:r>
          </w:p>
        </w:tc>
        <w:tc>
          <w:tcPr>
            <w:tcW w:type="dxa" w:w="38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Interpretive role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Methods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i, ii, iii, iv, v</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Five compositional likelihood estimators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Outcomes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RMSE, L1, Linf</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Average quadratic, aggregate absolute, and worst-coordinate error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Code C test</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Intercept-only paired MANOVA</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Global mean accuracy-profile difference for each method pair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Code D model</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design block + G + theta true + theta CV + sigma + mean sample size + p1 + p2</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Sensitivity of each pairwise performance gap</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Factor levels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mean sample size 25/50/100; sigma 0.25/0.5/1; theta true 0.5/1/2; theta CV 0/0.2/0.6; G 2/4/8</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Three-level factorial design described by the supplied R script</w:t>
            </w:r>
          </w:p>
        </w:tc>
      </w:tr>
    </w:tbl>
    <w:p>
      <w:pPr>
        <w:spacing w:after="0"/>
      </w:pPr>
    </w:p>
    <w:p>
      <w:pPr>
        <w:pStyle w:val="Heading1"/>
      </w:pPr>
      <w:r>
        <w:t>1 Executive Summary of Methodological Hierarchy</w:t>
      </w:r>
    </w:p>
    <w:p>
      <w:pPr>
        <w:spacing w:after="120" w:line="259" w:lineRule="auto"/>
      </w:pPr>
      <w:r>
        <w:t>All ten pairwise Pillai tests reject the null mean vector with p values printed as zero because of numerical underflow (all are far below conventional reporting thresholds). Thus, none of the pairwise comparisons is only marginally significant. The distinction is practical rather than inferential: Pillai traces range from 0.0090 to 0.1623, so some differences are small in multivariate magnitude despite extreme precision.</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5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Contrast</w:t>
            </w:r>
          </w:p>
        </w:tc>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Pillai</w:t>
            </w:r>
          </w:p>
        </w:tc>
        <w:tc>
          <w:tcPr>
            <w:tcW w:type="dxa" w:w="12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Approx. F</w:t>
            </w:r>
          </w:p>
        </w:tc>
        <w:tc>
          <w:tcPr>
            <w:tcW w:type="dxa" w:w="96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RMSE %</w:t>
            </w:r>
          </w:p>
        </w:tc>
        <w:tc>
          <w:tcPr>
            <w:tcW w:type="dxa" w:w="893"/>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L1 %</w:t>
            </w:r>
          </w:p>
        </w:tc>
        <w:tc>
          <w:tcPr>
            <w:tcW w:type="dxa" w:w="96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Linf %</w:t>
            </w:r>
          </w:p>
        </w:tc>
        <w:tc>
          <w:tcPr>
            <w:tcW w:type="dxa" w:w="1901"/>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Conclusion</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ii - 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0.0184</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3,990.5</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+5.92</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+6.08</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+5.68</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ii worse</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iii - 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0.0090</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1,935.4</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-4.43</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-3.99</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-5.02</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iii better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iv - 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0.0109</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2,344.8</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-1.79</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-0.95</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-2.67</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iv better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v - 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0.0209</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4,539.8</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-6.43</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-5.90</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-7.23</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v better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iii - 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0.1184</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28,563.6</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-9.77</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-9.49</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-10.13</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iii better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iv - 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0.0606</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13,726.9</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-7.28</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-6.63</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-7.90</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iv better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v - 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0.1623</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41,211.9</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-11.66</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-11.29</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-12.22</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v better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iv - 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0.0938</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22,006.2</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+2.76</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+3.16</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+2.47</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iv worse</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v - 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0.0356</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7,848.1</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-2.09</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-1.99</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-2.33</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v better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v - iv</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0.1162</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27,963.7</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-4.72</w:t>
            </w:r>
          </w:p>
        </w:tc>
        <w:tc>
          <w:tcPr>
            <w:tcW w:type="dxa" w:w="8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-4.99</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-4.68</w:t>
            </w:r>
          </w:p>
        </w:tc>
        <w:tc>
          <w:tcPr>
            <w:tcW w:type="dxa" w:w="19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v better</w:t>
            </w:r>
          </w:p>
        </w:tc>
      </w:tr>
    </w:tbl>
    <w:p>
      <w:pPr>
        <w:spacing w:after="0"/>
      </w:pPr>
    </w:p>
    <w:p>
      <w:pPr>
        <w:spacing w:after="120" w:line="259" w:lineRule="auto"/>
      </w:pPr>
      <w:r>
        <w:rPr>
          <w:b/>
        </w:rPr>
        <w:t>Magnitude hierarchy.</w:t>
      </w:r>
      <w:r>
        <w:t xml:space="preserve"> The strongest multivariate separation is v versus ii (Pillai = 0.1623), followed by iii versus ii (0.1184), v versus iv (0.1162), and iv versus iii (0.0938). The smallest traces are iii versus i (0.0090) and iv versus i (0.0109). These smaller traces still correspond to F statistics above 1,900 because 637,997 paired units provide enormous power. Accordingly, statistical significance should not be conflated with substantive size.</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Rank</w:t>
            </w:r>
          </w:p>
        </w:tc>
        <w:tc>
          <w:tcPr>
            <w:tcW w:type="dxa" w:w="100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Method</w:t>
            </w:r>
          </w:p>
        </w:tc>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RMSE</w:t>
            </w:r>
          </w:p>
        </w:tc>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L1</w:t>
            </w:r>
          </w:p>
        </w:tc>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Linf</w:t>
            </w:r>
          </w:p>
        </w:tc>
        <w:tc>
          <w:tcPr>
            <w:tcW w:type="dxa" w:w="43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jc w:val="center"/>
            </w:pPr>
            <w:r>
              <w:rPr>
                <w:b/>
                <w:color w:val="FFFFFF"/>
                <w:sz w:val="16"/>
              </w:rPr>
              <w:t>Overall interpretation</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1</w:t>
            </w:r>
          </w:p>
        </w:tc>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v</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1st</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1st</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1st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Consistent leader; strongest general recommendation</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2</w:t>
            </w:r>
          </w:p>
        </w:tc>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2nd</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2nd</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2nd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Strong runner-up across all criteria</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3</w:t>
            </w:r>
          </w:p>
        </w:tc>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iv</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3rd</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3rd</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3rd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Intermediate; modest advantage over i</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4</w:t>
            </w:r>
          </w:p>
        </w:tc>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4th</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4th</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center"/>
            </w:pPr>
            <w:r>
              <w:rPr>
                <w:sz w:val="16"/>
              </w:rPr>
              <w:t>4th</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shd w:fill="EEF4F8"/>
            <w:vAlign w:val="center"/>
          </w:tcPr>
          <w:p>
            <w:pPr>
              <w:spacing w:after="0" w:line="240" w:lineRule="auto"/>
              <w:jc w:val="left"/>
            </w:pPr>
            <w:r>
              <w:rPr>
                <w:sz w:val="16"/>
              </w:rPr>
              <w:t>Baseline; better only than ii</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5</w:t>
            </w:r>
          </w:p>
        </w:tc>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5th</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5th</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center"/>
            </w:pPr>
            <w:r>
              <w:rPr>
                <w:sz w:val="16"/>
              </w:rPr>
              <w:t>5th</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90" w:type="dxa"/>
              <w:bottom w:w="80" w:type="dxa"/>
              <w:end w:w="90" w:type="dxa"/>
            </w:tcMar>
            <w:vAlign w:val="center"/>
          </w:tcPr>
          <w:p>
            <w:pPr>
              <w:spacing w:after="0" w:line="240" w:lineRule="auto"/>
              <w:jc w:val="left"/>
            </w:pPr>
            <w:r>
              <w:rPr>
                <w:sz w:val="16"/>
              </w:rPr>
              <w:t>Consistently largest error</w:t>
            </w:r>
          </w:p>
        </w:tc>
      </w:tr>
    </w:tbl>
    <w:p>
      <w:pPr>
        <w:spacing w:after="0"/>
      </w:pPr>
    </w:p>
    <w:p>
      <w:pPr>
        <w:pStyle w:val="Heading1"/>
      </w:pPr>
      <w:r>
        <w:t>2 Factorial Sensitivity and Robustness Analysis</w:t>
      </w:r>
    </w:p>
    <w:p>
      <w:pPr>
        <w:spacing w:after="120" w:line="259" w:lineRule="auto"/>
      </w:pPr>
      <w:r>
        <w:t>In Code D, each response is already a target-minus-reference method difference. Therefore, a factor main effect on that difference is a pairwise method-by-condition interaction on the original error scale: it tests whether the method gap changes over the factor levels. Pillai trace is used here as the principal multivariate influence index because it measures separation of the three-dimensional gap profile. The printed MANOVA appears to be the standard sequential table in formula order; the balanced factorial design limits, but does not eliminate, concern about order dependence after subsampling.</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Factor</w:t>
            </w:r>
          </w:p>
        </w:tc>
        <w:tc>
          <w:tcPr>
            <w:tcW w:type="dxa" w:w="12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Median Pillai</w:t>
            </w:r>
          </w:p>
        </w:tc>
        <w:tc>
          <w:tcPr>
            <w:tcW w:type="dxa" w:w="16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Range across pairs</w:t>
            </w:r>
          </w:p>
        </w:tc>
        <w:tc>
          <w:tcPr>
            <w:tcW w:type="dxa" w:w="13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Median approx. F</w:t>
            </w:r>
          </w:p>
        </w:tc>
        <w:tc>
          <w:tcPr>
            <w:tcW w:type="dxa" w:w="31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Influence assessment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sigma</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0.04334</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0.00173-0.13814</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4,714.9</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Largest average driver; highly pair-specific</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G</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0.03697</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0.00259-0.06067</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4,009.8</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Co-dominant and consistently strong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mean sample size</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0.00964</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0.00090-0.03786</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1,029.7</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Secondary information effect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theta true</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0.00578</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0.00043-0.03499</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616.4</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Secondary signal-level effect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design block</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0.00188</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0.00014-0.00515</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200.5</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Small distribution-family sensitivity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theta CV</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0.00018</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0.00002-0.00101</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19.1</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Weak practical influence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p2</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0.0000106</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0.0000006-0.0000165</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2.25</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Negligible; sporadically significant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p1</w:t>
            </w:r>
          </w:p>
        </w:tc>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0.0000026</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0.0000005-0.0000066</w:t>
            </w:r>
          </w:p>
        </w:tc>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0.56</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Negligible and nonsignificant</w:t>
            </w:r>
          </w:p>
        </w:tc>
      </w:tr>
    </w:tbl>
    <w:p>
      <w:pPr>
        <w:spacing w:after="0"/>
      </w:pPr>
    </w:p>
    <w:p>
      <w:pPr>
        <w:spacing w:after="120" w:line="259" w:lineRule="auto"/>
      </w:pPr>
      <w:r>
        <w:t>The aggregate hierarchy is sigma approximately G, then mean sample size, theta true, design block, theta CV, and finally p2/p1. G has the largest Pillai trace for ii-i, iii-ii, and iv-ii; sigma dominates iii-i, iv-i, v-ii, v-iii, and v-iv. Mean sample size is the largest single factor for iv-iii. This heterogeneity is scientifically important: no one factor controls every estimator comparison.</w:t>
      </w:r>
    </w:p>
    <w:p>
      <w:pPr>
        <w:pStyle w:val="Heading2"/>
      </w:pPr>
      <w:r>
        <w:t>Pair-specific sensitivity</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181"/>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Pair</w:t>
            </w:r>
          </w:p>
        </w:tc>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G</w:t>
            </w:r>
          </w:p>
        </w:tc>
        <w:tc>
          <w:tcPr>
            <w:tcW w:type="dxa" w:w="1181"/>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theta true</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theta CV</w:t>
            </w:r>
          </w:p>
        </w:tc>
        <w:tc>
          <w:tcPr>
            <w:tcW w:type="dxa" w:w="965"/>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sigma</w:t>
            </w:r>
          </w:p>
        </w:tc>
        <w:tc>
          <w:tcPr>
            <w:tcW w:type="dxa" w:w="103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mean n</w:t>
            </w:r>
          </w:p>
        </w:tc>
        <w:tc>
          <w:tcPr>
            <w:tcW w:type="dxa" w:w="266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4"/>
              </w:rPr>
              <w:t>Primary reading</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0.0607</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0.0088</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0.0002</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0.0526</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0.0091</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G and sigma dominate</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0.0520</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0.0054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0.0004</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0.0632</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0.0102</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sigma then G</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iv-i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0.0571</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0.0095</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0.0005</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0.0653</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0.0123</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sigma and G; n secondary</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v-i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0.0548</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0.0061</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0.0002</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0.0341</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0.0116</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G strongest</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iii-ii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0.0185</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0.0055</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0.0001</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0.0017</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0.0014</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G clearly dominates</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iv-ii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0.0068</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0.0004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0.0001</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0.0019</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0.0067</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G and n comparable</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v-ii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0.0089</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0.0028</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&lt;0.0001</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0.0202</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0.0053</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sigma dominates</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iv-iii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0.0465</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0.0350</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0.0001</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0.0043</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0.0379</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G, n, and theta drive gap</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v-iii</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0.0275</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0.0036</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0.0010</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0.1381</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4"/>
              </w:rPr>
              <w:t>0.0162</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4"/>
              </w:rPr>
              <w:t>exceptionally sigma-sensitive</w:t>
            </w:r>
          </w:p>
        </w:tc>
      </w:tr>
      <w:tr>
        <w:trPr>
          <w:cantSplit/>
        </w:trPr>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v-iv</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0.0026</w:t>
            </w:r>
          </w:p>
        </w:tc>
        <w:tc>
          <w:tcPr>
            <w:tcW w:type="dxa" w:w="11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0.0064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0.0006</w:t>
            </w:r>
          </w:p>
        </w:tc>
        <w:tc>
          <w:tcPr>
            <w:tcW w:type="dxa" w:w="9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0.0900</w:t>
            </w:r>
          </w:p>
        </w:tc>
        <w:tc>
          <w:tcPr>
            <w:tcW w:type="dxa" w:w="10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4"/>
              </w:rPr>
              <w:t>0.0009</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4"/>
              </w:rPr>
              <w:t>sigma overwhelmingly dominant</w:t>
            </w:r>
          </w:p>
        </w:tc>
      </w:tr>
    </w:tbl>
    <w:p>
      <w:pPr>
        <w:spacing w:after="0"/>
      </w:pPr>
    </w:p>
    <w:p>
      <w:pPr>
        <w:spacing w:after="120" w:line="259" w:lineRule="auto"/>
      </w:pPr>
      <w:r>
        <w:t>Robustness of the leaders. Method v has the best marginal error profile, but its advantage over iii is particularly sensitive to sigma (Pillai = 0.1381, F = 15,778.3) and, to a lesser extent, G and mean sample size. Its advantage over iv is also strongly sigma-dependent (Pillai = 0.0900, F = 10,023.7). Method iii's advantage over iv is instead most sensitive to G, mean sample size, and theta true. Thus, v is the strongest global choice, whereas iii is the closest plausible specialist under particular noise regimes; the available tables do not show whether the v-iii gap ever changes sign.</w:t>
      </w:r>
    </w:p>
    <w:p>
      <w:pPr>
        <w:spacing w:after="120" w:line="259" w:lineRule="auto"/>
      </w:pPr>
      <w:r>
        <w:rPr>
          <w:b/>
        </w:rPr>
        <w:t>p1 and p2.</w:t>
      </w:r>
      <w:r>
        <w:t xml:space="preserve"> p1 is nonsignificant in every joint MANOVA. p2 reaches p &lt; 0.05 for iii-i (p = 0.0158), iv-i (p = 0.0146), and v-iii (p = 0.0370), but its Pillai traces are only 0.000013-0.000017. Those results are statistically detectable but practically negligible, especially under ten pairwise analyses without a reported across-model multiplicity correction.</w:t>
      </w:r>
    </w:p>
    <w:p>
      <w:pPr>
        <w:spacing w:after="120" w:line="259" w:lineRule="auto"/>
      </w:pPr>
      <w:r>
        <w:rPr>
          <w:b/>
        </w:rPr>
        <w:t>Niche or crossover conditions.</w:t>
      </w:r>
      <w:r>
        <w:t xml:space="preserve"> The output supports differential sensitivity, not a demonstrated reversal. Because Code D reports omnibus tests only—without factor-level coefficients, adjusted means, confidence intervals, or method-by-factor-by-factor terms—it cannot determine whether, for example, iii overtakes v at a specific sigma, or whether iv overtakes iii at a particular combination of G and sample size. Such claims require estimated method gaps by level and simultaneous confidence intervals; higher-order interactions are required for combinations of conditions.</w:t>
      </w:r>
    </w:p>
    <w:p>
      <w:pPr>
        <w:pStyle w:val="Heading1"/>
      </w:pPr>
      <w:r>
        <w:t>3 Multivariate versus Univariate Divergence</w:t>
      </w:r>
    </w:p>
    <w:p>
      <w:pPr>
        <w:spacing w:after="120" w:line="259" w:lineRule="auto"/>
      </w:pPr>
      <w:r>
        <w:t>The univariate decompositions broadly corroborate the multivariate findings. Across pairwise models, median F statistics identify sigma and G as the dominant drivers within RMSE, L1, and Linf; mean sample size and theta true are secondary. p1 and p2 remain negligible. The coherence across responses explains why every Code C multivariate comparison is significant and why the aggregate method ranking is identical for all three metrics.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Factor</w:t>
            </w:r>
          </w:p>
        </w:tc>
        <w:tc>
          <w:tcPr>
            <w:tcW w:type="dxa" w:w="25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RMSE median F (range)</w:t>
            </w:r>
          </w:p>
        </w:tc>
        <w:tc>
          <w:tcPr>
            <w:tcW w:type="dxa" w:w="25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L1 median F (range)</w:t>
            </w:r>
          </w:p>
        </w:tc>
        <w:tc>
          <w:tcPr>
            <w:tcW w:type="dxa" w:w="25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5"/>
              </w:rPr>
              <w:t>Linf median F (range)</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sigma</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12,874 (110-47,577)</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13,725 (104-48,926)</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11,774 (90-30,416)</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G</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11,381 (474-19,842)</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10,796 (540-20,485)</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7,611 (404-18,900)</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mean sample size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2,409 (215-11,694)</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2,214 (263-11,421)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2,435 (143-6,827)</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theta true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1,533 (131-9,725)</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1,703 (110-11,335)</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1,154 (119-4,457)</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design block</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484 (18-1,141)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260 (10-807)</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530 (3-1,563)</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5"/>
              </w:rPr>
              <w:t>theta CV</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51 (0.09-283)</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53 (0.03-313)</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5"/>
              </w:rPr>
              <w:t>51 (0.09-181)</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5"/>
              </w:rPr>
              <w:t>p1 / p2</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both &lt; 1.35</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both &lt; 1.42</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5"/>
              </w:rPr>
              <w:t>both &lt; 2.42</w:t>
            </w:r>
          </w:p>
        </w:tc>
      </w:tr>
    </w:tbl>
    <w:p>
      <w:pPr>
        <w:spacing w:after="0"/>
      </w:pPr>
    </w:p>
    <w:p>
      <w:pPr>
        <w:spacing w:after="120" w:line="259" w:lineRule="auto"/>
      </w:pPr>
      <w:r>
        <w:rPr>
          <w:b/>
        </w:rPr>
        <w:t>Worst-case behavior.</w:t>
      </w:r>
      <w:r>
        <w:t xml:space="preserve"> Linf does not reveal a hidden weakness of method v. Compared with i, v has 7.23% lower Linf versus 6.43% lower RMSE; compared with iii, v has 2.33% lower Linf versus 2.09% lower RMSE; compared with ii, v has 12.22% lower Linf versus 11.66% lower RMSE. Method iii also improves more on i in Linf (5.02%) than in RMSE (4.43%). Conversely, method iv's advantage over i is weakest for L1 (0.95%) and strongest for Linf (2.67%). There is therefore no evidence that the leaders achieve good average accuracy at the cost of unusually poor maximum-coordinate error.</w:t>
      </w:r>
    </w:p>
    <w:p>
      <w:pPr>
        <w:spacing w:after="120" w:line="259" w:lineRule="auto"/>
      </w:pPr>
      <w:r>
        <w:t>Although the three metrics yield the same rank order, their gaps are not identical. L1 slightly favors iii over iv less strongly than the multivariate profile might suggest (iv is 3.16% worse than iii in L1 versus 2.47% worse in Linf), while Linf accentuates the advantage of v over i and ii. These differences justify retaining the joint multivariate test and the metric-specific decompositions.</w:t>
      </w:r>
    </w:p>
    <w:p>
      <w:pPr>
        <w:pStyle w:val="Heading1"/>
      </w:pPr>
      <w:r>
        <w:t>4 Inference on Relative Efficiency and Recommendation</w:t>
      </w:r>
    </w:p>
    <w:p>
      <w:pPr>
        <w:spacing w:after="120" w:line="259" w:lineRule="auto"/>
      </w:pPr>
      <w:r>
        <w:t>On the transformed scale, exponentiation converts an estimated mean log-difference into a geometric error ratio. For example, the v-i RMSE contrast of -0.06648 gives exp(-0.06648) = 0.93568: method v has 93.57% of method i's epsilon-adjusted RMSE, a 6.43% reduction. Likewise, v-ii RMSE is -0.12397, giving a ratio of 0.88341 and an 11.66% reduction. Ratios compare error, not statistical efficiency in the classical inverse-variance sense; the term relative efficiency is therefore used here as relative error efficiency.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Target vs reference</w:t>
            </w:r>
          </w:p>
        </w:tc>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Geometric error ratio range</w:t>
            </w:r>
          </w:p>
        </w:tc>
        <w:tc>
          <w:tcPr>
            <w:tcW w:type="dxa" w:w="53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jc w:val="center"/>
            </w:pPr>
            <w:r>
              <w:rPr>
                <w:b/>
                <w:color w:val="FFFFFF"/>
                <w:sz w:val="16"/>
              </w:rPr>
              <w:t>Practical interpretation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v vs ii</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0.878-0.887</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11.29%-12.22% lower error; largest practical gain</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iii vs ii</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0.899-0.905</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9.49%-10.13% lower error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iv vs ii</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0.921-0.934</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6.63%-7.90% lower error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v vs i</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0.928-0.941</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5.90%-7.23% lower error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v vs iv</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0.950-0.953</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4.68%-4.99% lower error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iii vs i</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0.950-0.960</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3.99%-5.02% lower error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iv vs i</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center"/>
            </w:pPr>
            <w:r>
              <w:rPr>
                <w:sz w:val="16"/>
              </w:rPr>
              <w:t>0.973-0.990</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vAlign w:val="center"/>
          </w:tcPr>
          <w:p>
            <w:pPr>
              <w:spacing w:after="0" w:line="240" w:lineRule="auto"/>
              <w:jc w:val="left"/>
            </w:pPr>
            <w:r>
              <w:rPr>
                <w:sz w:val="16"/>
              </w:rPr>
              <w:t>0.95%-2.67% lower error</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v vs iii</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center"/>
            </w:pPr>
            <w:r>
              <w:rPr>
                <w:sz w:val="16"/>
              </w:rPr>
              <w:t>0.977-0.980</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45" w:type="dxa"/>
              <w:start w:w="90" w:type="dxa"/>
              <w:bottom w:w="45" w:type="dxa"/>
              <w:end w:w="90" w:type="dxa"/>
            </w:tcMar>
            <w:shd w:fill="EEF4F8"/>
            <w:vAlign w:val="center"/>
          </w:tcPr>
          <w:p>
            <w:pPr>
              <w:spacing w:after="0" w:line="240" w:lineRule="auto"/>
              <w:jc w:val="left"/>
            </w:pPr>
            <w:r>
              <w:rPr>
                <w:sz w:val="16"/>
              </w:rPr>
              <w:t>1.99%-2.33% lower error; small but consistent</w:t>
            </w:r>
          </w:p>
        </w:tc>
      </w:tr>
    </w:tbl>
    <w:p>
      <w:pPr>
        <w:spacing w:after="0"/>
      </w:pPr>
    </w:p>
    <w:p>
      <w:pPr>
        <w:spacing w:after="120" w:line="259" w:lineRule="auto"/>
      </w:pPr>
      <w:r>
        <w:rPr>
          <w:b/>
        </w:rPr>
        <w:t>Definitive recommendation.</w:t>
      </w:r>
      <w:r>
        <w:t xml:space="preserve"> Use method v as the default estimator for general compositional likelihood applications. It is first on RMSE, L1, and Linf; its superiority is coherent rather than driven by a single metric; and its largest relative gains occur against the weakest method ii. Method iii is the preferred sensitivity-analysis comparator and a defensible second choice, especially because the v-iii difference is only about 2%. Method iv is intermediate, method i is a lower-performing baseline, and method ii is not recommended when estimation error is the primary criterion.</w:t>
      </w:r>
    </w:p>
    <w:p>
      <w:pPr>
        <w:spacing w:after="120" w:line="259" w:lineRule="auto"/>
      </w:pPr>
      <w:r>
        <w:t>The recommendation remains conditional on the simulated design space. The large sigma-related variation in v-iii and v-iv gaps means that deployment under noise regimes outside the studied range should include targeted validation. A practical follow-up is to report factor-level estimated contrasts for v versus iii and v versus iv, particularly at sigma = 0.25, 0.5, and 1.0, and to verify that their confidence intervals remain below zero.</w:t>
      </w:r>
    </w:p>
    <w:p>
      <w:pPr>
        <w:pStyle w:val="Heading1"/>
      </w:pPr>
      <w:r>
        <w:t>5 Compositional and Proportion-Specific Diagnostics</w:t>
      </w:r>
    </w:p>
    <w:p>
      <w:pPr>
        <w:spacing w:after="120" w:line="259" w:lineRule="auto"/>
      </w:pPr>
      <w:r>
        <w:t>Composition vectors are bounded and constrained to sum to one. Near 0 or 1, raw-scale errors can be skewed, discrete, and heteroscedastic; components are negatively dependent through the closure constraint. RMSE emphasizes larger deviations, L1 summarizes total absolute displacement, and Linf isolates the worst component. Their agreement here is reassuring, but it does not remove boundary-related distributional concerns.</w:t>
      </w:r>
    </w:p>
    <w:p>
      <w:pPr>
        <w:pStyle w:val="ListBullet"/>
        <w:spacing w:after="60" w:line="252" w:lineRule="auto"/>
      </w:pPr>
      <w:r>
        <w:t>The log(error + eps) transformation is appropriate for positive, right-skewed error magnitudes and converts multiplicative differences into additive contrasts. Its epsilon regularization should be subjected to a sensitivity analysis because values near 10^-6 can be materially affected.</w:t>
      </w:r>
    </w:p>
    <w:p>
      <w:pPr>
        <w:pStyle w:val="ListBullet"/>
        <w:spacing w:after="60" w:line="252" w:lineRule="auto"/>
      </w:pPr>
      <w:r>
        <w:t>An arcsine-square-root transform is historically used for individual binomial proportions, but it does not respect the joint simplex geometry and is not generally the preferred transformation for a multicomponent composition.</w:t>
      </w:r>
    </w:p>
    <w:p>
      <w:pPr>
        <w:pStyle w:val="ListBullet"/>
        <w:spacing w:after="60" w:line="252" w:lineRule="auto"/>
      </w:pPr>
      <w:r>
        <w:t>Componentwise logits are undefined at exact 0 and 1 without adjustment and ignore the sum-to-one dependence. Additive, centered, or isometric log-ratio coordinates are more principled for interior compositions, with an explicit zero-replacement strategy when structural or sampling zeros occur.</w:t>
      </w:r>
    </w:p>
    <w:p>
      <w:pPr>
        <w:pStyle w:val="ListBullet"/>
        <w:spacing w:after="60" w:line="252" w:lineRule="auto"/>
      </w:pPr>
      <w:r>
        <w:t>Residual-versus-fitted and scale-location diagnostics should be stratified by method, metric, sigma, G, and sample size. A robust or heteroscedastic covariance model, cluster-aware analysis at the simplex unit, or a bootstrap over simulation units would strengthen uncertainty quantification.</w:t>
      </w:r>
    </w:p>
    <w:p>
      <w:pPr>
        <w:pStyle w:val="Heading1"/>
      </w:pPr>
      <w:r>
        <w:t>6 Integrated Statistical Conclusions</w:t>
      </w:r>
    </w:p>
    <w:p>
      <w:pPr>
        <w:pStyle w:val="ListBullet"/>
        <w:spacing w:after="60" w:line="252" w:lineRule="auto"/>
      </w:pPr>
      <w:r>
        <w:t>Global accuracy profile: every method pair differs jointly across RMSE, L1, and Linf with overwhelming evidence. Pillai traces range from 0.0090 to 0.1623, separating precision from practical magnitude.</w:t>
      </w:r>
    </w:p>
    <w:p>
      <w:pPr>
        <w:pStyle w:val="ListBullet"/>
        <w:spacing w:after="60" w:line="252" w:lineRule="auto"/>
      </w:pPr>
      <w:r>
        <w:t>Leaderboard: v &gt; iii &gt; iv &gt; i &gt; ii, where greater-than denotes better accuracy (lower error). The ordering is identical for all three error metrics.</w:t>
      </w:r>
    </w:p>
    <w:p>
      <w:pPr>
        <w:pStyle w:val="ListBullet"/>
        <w:spacing w:after="60" w:line="252" w:lineRule="auto"/>
      </w:pPr>
      <w:r>
        <w:t>Practical gains: v reduces error by approximately 2% versus iii, 4.7%-5.0% versus iv, 5.9%-7.2% versus i, and 11.3%-12.2% versus ii.</w:t>
      </w:r>
    </w:p>
    <w:p>
      <w:pPr>
        <w:pStyle w:val="ListBullet"/>
        <w:spacing w:after="60" w:line="252" w:lineRule="auto"/>
      </w:pPr>
      <w:r>
        <w:t>Factor hierarchy: sigma and G are the dominant sources of change in pairwise method gaps; mean sample size and theta true are secondary; design block and theta CV are smaller; p1 and p2 are negligible.</w:t>
      </w:r>
    </w:p>
    <w:p>
      <w:pPr>
        <w:pStyle w:val="ListBullet"/>
        <w:spacing w:after="60" w:line="252" w:lineRule="auto"/>
      </w:pPr>
      <w:r>
        <w:t>Specialization: iii is the closest competitor to v and the most plausible noise-regime specialist, while iv-versus-iii differences are particularly sensitive to G, theta true, and sample size. No crossover is established by the supplied omnibus tables.</w:t>
      </w:r>
    </w:p>
    <w:p>
      <w:pPr>
        <w:pStyle w:val="ListBullet"/>
        <w:spacing w:after="60" w:line="252" w:lineRule="auto"/>
      </w:pPr>
      <w:r>
        <w:t>Worst-case accuracy: Linf supports, rather than contradicts, the superiority of v and iii. Neither leader shows evidence of sacrificing maximum-coordinate accuracy for better average RMSE.</w:t>
      </w:r>
    </w:p>
    <w:p>
      <w:pPr>
        <w:spacing w:after="120" w:line="259" w:lineRule="auto"/>
      </w:pPr>
      <w:r>
        <w:t>Overall, the convergent multivariate and univariate evidence favors method v as the robust general estimator, with method iii as a close and scientifically important alternative. The factorial analysis does not weaken that conclusion, but it shows that the size of the advantage is not constant. Claims of universal dominance at every individual design cell should await level-specific contrasts, confidence intervals, and explicit higher-order interaction models.</w:t>
      </w:r>
    </w:p>
    <w:p>
      <w:pPr>
        <w:pStyle w:val="Heading1"/>
      </w:pPr>
      <w:r>
        <w:t>Statistical Qualifications</w:t>
      </w:r>
    </w:p>
    <w:p>
      <w:pPr>
        <w:spacing w:after="120" w:line="259" w:lineRule="auto"/>
      </w:pPr>
      <w:r>
        <w:t>The ten pairwise MANOVAs and ten factorial MANOVAs create a multiplicity issue across method pairs; the reported p values are so small for the principal factors that adjustment would not alter the substantive conclusions, but marginal p2 findings should be treated cautiously. The 2% sample is extremely large, so very small departures are detectable. Pillai trace, percentage error changes, and consistency across metrics are therefore more informative than p values alone. Finally, the outputs do not provide residual diagnostics, cellwise estimates, confidence intervals for percentage changes, or a clustered/random-effects covariance structure; these omissions limit claims about exact uncertainty and cell-specific dominance.</w:t>
      </w:r>
    </w:p>
    <w:p>
      <w:pPr>
        <w:pStyle w:val="SourceNote"/>
        <w:spacing w:after="120" w:line="259" w:lineRule="auto"/>
      </w:pPr>
      <w:r>
        <w:t>Source files: results-code-C-K9.txt; results-code-D-K9.txt; build_design_matrix.R. Percent changes were taken from Code C and correspond to 100[exp(mean log-difference) - 1]. Aggregate Code D rankings summarize the ten reported pairwise factorial models.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Compositional likelihood accuracy analysis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ptos" w:hAnsi="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