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val="0"/>
          <w:color w:val="17365D"/>
          <w:sz w:val="50"/>
        </w:rPr>
        <w:t>Integrated Statistical Synthesis of Estimation Accuracy</w:t>
      </w:r>
    </w:p>
    <w:p>
      <w:pPr>
        <w:spacing w:after="100"/>
      </w:pPr>
      <w:r>
        <w:rPr>
          <w:rFonts w:ascii="Calibri" w:hAnsi="Calibri"/>
          <w:color w:val="4F81BD"/>
          <w:sz w:val="24"/>
        </w:rPr>
        <w:t>Cross-analysis comparison of compositional likelihood methods i-v using RMSE, L1, and Linf</w:t>
      </w:r>
    </w:p>
    <w:p>
      <w:pPr>
        <w:spacing w:after="200"/>
      </w:pPr>
      <w:r>
        <w:rPr>
          <w:rFonts w:ascii="Calibri" w:hAnsi="Calibri"/>
          <w:color w:val="6B7280"/>
          <w:sz w:val="18"/>
        </w:rPr>
        <w:t>Sources: summary-results-code-A, summary-results-code-B, summary-results-code-C-D, and summary-results-code-E  |  Prepared 28 August 2026</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72" w:type="dxa"/>
              <w:start w:w="100" w:type="dxa"/>
              <w:bottom w:w="72" w:type="dxa"/>
              <w:end w:w="100" w:type="dxa"/>
            </w:tcMar>
            <w:shd w:fill="EAF2F8"/>
            <w:vAlign w:val="center"/>
          </w:tcPr>
          <w:p>
            <w:pPr>
              <w:keepLines/>
              <w:spacing w:after="0"/>
            </w:pPr>
            <w:r>
              <w:rPr>
                <w:rFonts w:ascii="Calibri" w:hAnsi="Calibri"/>
                <w:b/>
                <w:color w:val="1F4D78"/>
                <w:sz w:val="20"/>
              </w:rPr>
              <w:t xml:space="preserve">Central finding. </w:t>
            </w:r>
            <w:r>
              <w:rPr>
                <w:rFonts w:ascii="Calibri" w:hAnsi="Calibri"/>
                <w:color w:val="1F2937"/>
                <w:sz w:val="20"/>
              </w:rPr>
              <w:t>Methods v, iii, and iv form the defensible high-performing group. The best-supported general-use ordering is v, iii, iv, i, ii, but the separation between v and iii is practically negligible and iii-iv ordering changes with the analysis and metric. Sigma is the dominant experimental driver, followed by G for absolute error and by design block or mean sample size for some pairwise method gaps. Method ii is consistently the weakest general choice despite a limited conditional advantage over method i for RMSE and Linf in Code B.</w:t>
            </w:r>
          </w:p>
        </w:tc>
      </w:tr>
    </w:tbl>
    <w:p>
      <w:pPr>
        <w:spacing w:after="0"/>
      </w:pPr>
    </w:p>
    <w:p>
      <w:pPr>
        <w:pStyle w:val="Heading1"/>
      </w:pPr>
      <w:r>
        <w:t>Executive synthesis</w:t>
      </w:r>
    </w:p>
    <w:p>
      <w:pPr>
        <w:keepLines w:val="0"/>
      </w:pPr>
      <w:r>
        <w:t>The four reports reach a common substantive conclusion: method choice matters, but simulation difficulty matters more. Codes A, B, C-D, and E all reject equality of the methods on the transformed accuracy scale, and all identify sigma as the dominant experimental influence. Codes A, B, and E also place G immediately behind sigma for the level of absolute error. Code C-D instead analyzes pairwise method gaps, for which sampling-distribution block and mean sample size are often as important as, or more important than, G.</w:t>
      </w:r>
    </w:p>
    <w:p>
      <w:pPr>
        <w:keepLines w:val="0"/>
      </w:pPr>
      <w:r>
        <w:t>The method evidence separates into a leading class and two inferior positions. Method v has the lowest global geometric mean error in Code C-D and the lowest RMSE, L1, and Linf estimates at the Code A reference condition. Method iii is only 0.11-0.16% worse than v in the matched global log-ratio analysis, leads or ties in Code B, and has the lowest conditional L1 response in Code E. Method iv ties iii in Code B, is second at the Code A reference condition, and has the lowest conditional RMSE and Linf responses in Code E. These results support a leading set of v, iii, and iv rather than a universal winner.</w:t>
      </w:r>
    </w:p>
    <w:p>
      <w:pPr>
        <w:keepLines w:val="0"/>
      </w:pPr>
      <w:r>
        <w:t>The most defensible ordinal ranking for general application is v first, iii second, iv third, i fourth, and ii fifth. This ranking gives greatest weight to the matched global comparisons in Code C-D, then checks consistency against the conditional ANOVA, mixed-model, and GAM results. The first two ranks should be interpreted as practical co-leaders: v improves on iii by at most 0.16% in Code C-D. Method iv is also competitive, but its global error is about 0.9% above iii and about 1.0% above v. Method i is consistently outside the leading group, while method ii is generally worst and approximately 19.7-19.8% worse than v in Code C-D.</w:t>
      </w:r>
    </w:p>
    <w:p>
      <w:pPr>
        <w:keepLines w:val="0"/>
      </w:pPr>
      <w:r>
        <w:t>The metric-specific evidence is highly concordant. Sigma and G dominate RMSE, L1, and Linf levels in Code A, with partial eta-squared values near 0.15-0.16 and 0.11, respectively. Mean sample size, sampling-distribution block, and theta_true are smaller but reproducible influences; theta_CV is negligible, and linear p1 and p2 effects are absent or trivial. Code E resolves the apparent lack of p1 and p2 effects: their linear main effects are weak, but the joint p1-p2 surface is strongly nonlinear and differs by method.</w:t>
      </w:r>
    </w:p>
    <w:p>
      <w:pPr>
        <w:keepLines w:val="0"/>
      </w:pPr>
      <w:r>
        <w:t>The method-by-sigma interaction is the most important conditional effect. Increasing sigma raises error for every method, but the rates differ; Code A shows method ii deteriorating fastest for Linf and method v having the smallest additional deterioration among methods ii-v. Larger mean sample size reduces error, with methods iii-v, especially iv, benefiting more than method i. These interactions explain why Code B at a low-noise Poisson reference condition favors iii and iv, whereas Code A at a high-noise negative-binomial condition favors v.</w:t>
      </w:r>
    </w:p>
    <w:p>
      <w:pPr>
        <w:keepLines w:val="0"/>
      </w:pPr>
      <w:r>
        <w:t>All conclusions require proportion-specific qualifications. The errors arise on a three-part simplex, so component errors are dependent and heteroscedasticity is expected near boundaries. In this setting L1 equals two times Linf before transformations, making the two metrics mathematically redundant rather than independent confirmation. Code E confirms adequate smooth basis dimensions but shows heavy right tails, a near-zero floor, and strong heteroscedasticity. Accordingly, the ranking is well supported descriptively, while exact p-values and universal robustness claims should remain conditional on improved variance modeling and cellwise contrasts.</w:t>
      </w:r>
    </w:p>
    <w:p>
      <w:pPr>
        <w:pStyle w:val="Heading1"/>
      </w:pPr>
      <w:r>
        <w:t>1. Evidence base and comparability of the four analyses</w:t>
      </w:r>
    </w:p>
    <w:tbl>
      <w:tblPr>
        <w:tblStyle w:val="TableGrid"/>
        <w:tblW w:type="dxa" w:w="9360"/>
        <w:jc w:val="left"/>
        <w:tblLayout w:type="fixed"/>
        <w:tblLook w:firstColumn="1" w:firstRow="1" w:lastColumn="0" w:lastRow="0" w:noHBand="0" w:noVBand="1" w:val="04A0"/>
        <w:tblInd w:w="120" w:type="dxa"/>
      </w:tblPr>
      <w:tblGrid>
        <w:gridCol w:w="1250"/>
        <w:gridCol w:w="2400"/>
        <w:gridCol w:w="2900"/>
        <w:gridCol w:w="2810"/>
      </w:tblGrid>
      <w:tr>
        <w:trPr>
          <w:tblHeader w:val="true"/>
          <w:cantSplit/>
        </w:trPr>
        <w:tc>
          <w:tcPr>
            <w:tcW w:type="dxa" w:w="1250"/>
            <w:shd w:fill="2E74B5"/>
            <w:vAlign w:val="center"/>
            <w:tcMar>
              <w:top w:w="72" w:type="dxa"/>
              <w:start w:w="100" w:type="dxa"/>
              <w:bottom w:w="72" w:type="dxa"/>
              <w:end w:w="100" w:type="dxa"/>
            </w:tcMar>
          </w:tcPr>
          <w:p>
            <w:pPr>
              <w:keepNext/>
              <w:spacing w:after="0"/>
            </w:pPr>
            <w:r>
              <w:rPr>
                <w:rFonts w:ascii="Calibri" w:hAnsi="Calibri"/>
                <w:b/>
                <w:color w:val="FFFFFF"/>
                <w:sz w:val="16"/>
              </w:rPr>
              <w:t>Report</w:t>
            </w:r>
          </w:p>
        </w:tc>
        <w:tc>
          <w:tcPr>
            <w:tcW w:type="dxa" w:w="2400"/>
            <w:shd w:fill="2E74B5"/>
            <w:vAlign w:val="center"/>
            <w:tcMar>
              <w:top w:w="72" w:type="dxa"/>
              <w:start w:w="100" w:type="dxa"/>
              <w:bottom w:w="72" w:type="dxa"/>
              <w:end w:w="100" w:type="dxa"/>
            </w:tcMar>
          </w:tcPr>
          <w:p>
            <w:pPr>
              <w:keepNext/>
              <w:spacing w:after="0"/>
            </w:pPr>
            <w:r>
              <w:rPr>
                <w:rFonts w:ascii="Calibri" w:hAnsi="Calibri"/>
                <w:b/>
                <w:color w:val="FFFFFF"/>
                <w:sz w:val="16"/>
              </w:rPr>
              <w:t>Primary analysis</w:t>
            </w:r>
          </w:p>
        </w:tc>
        <w:tc>
          <w:tcPr>
            <w:tcW w:type="dxa" w:w="2900"/>
            <w:shd w:fill="2E74B5"/>
            <w:vAlign w:val="center"/>
            <w:tcMar>
              <w:top w:w="72" w:type="dxa"/>
              <w:start w:w="100" w:type="dxa"/>
              <w:bottom w:w="72" w:type="dxa"/>
              <w:end w:w="100" w:type="dxa"/>
            </w:tcMar>
          </w:tcPr>
          <w:p>
            <w:pPr>
              <w:keepNext/>
              <w:spacing w:after="0"/>
            </w:pPr>
            <w:r>
              <w:rPr>
                <w:rFonts w:ascii="Calibri" w:hAnsi="Calibri"/>
                <w:b/>
                <w:color w:val="FFFFFF"/>
                <w:sz w:val="16"/>
              </w:rPr>
              <w:t>Principal contribution</w:t>
            </w:r>
          </w:p>
        </w:tc>
        <w:tc>
          <w:tcPr>
            <w:tcW w:type="dxa" w:w="2810"/>
            <w:shd w:fill="2E74B5"/>
            <w:vAlign w:val="center"/>
            <w:tcMar>
              <w:top w:w="72" w:type="dxa"/>
              <w:start w:w="100" w:type="dxa"/>
              <w:bottom w:w="72" w:type="dxa"/>
              <w:end w:w="100" w:type="dxa"/>
            </w:tcMar>
          </w:tcPr>
          <w:p>
            <w:pPr>
              <w:keepNext/>
              <w:spacing w:after="0"/>
            </w:pPr>
            <w:r>
              <w:rPr>
                <w:rFonts w:ascii="Calibri" w:hAnsi="Calibri"/>
                <w:b/>
                <w:color w:val="FFFFFF"/>
                <w:sz w:val="16"/>
              </w:rPr>
              <w:t>Main limitation</w:t>
            </w:r>
          </w:p>
        </w:tc>
      </w:tr>
      <w:tr>
        <w:trPr>
          <w:cantSplit/>
        </w:trPr>
        <w:tc>
          <w:tcPr>
            <w:tcW w:type="dxa" w:w="1250"/>
            <w:vAlign w:val="top"/>
            <w:tcMar>
              <w:top w:w="72" w:type="dxa"/>
              <w:start w:w="100" w:type="dxa"/>
              <w:bottom w:w="72" w:type="dxa"/>
              <w:end w:w="100" w:type="dxa"/>
            </w:tcMar>
          </w:tcPr>
          <w:p>
            <w:pPr>
              <w:spacing w:after="0"/>
            </w:pPr>
            <w:r>
              <w:rPr>
                <w:rFonts w:ascii="Calibri" w:hAnsi="Calibri"/>
                <w:b/>
                <w:color w:val="1F2937"/>
                <w:sz w:val="16"/>
              </w:rPr>
              <w:t>Code A</w:t>
            </w:r>
          </w:p>
        </w:tc>
        <w:tc>
          <w:tcPr>
            <w:tcW w:type="dxa" w:w="2400"/>
            <w:vAlign w:val="top"/>
            <w:tcMar>
              <w:top w:w="72" w:type="dxa"/>
              <w:start w:w="100" w:type="dxa"/>
              <w:bottom w:w="72" w:type="dxa"/>
              <w:end w:w="100" w:type="dxa"/>
            </w:tcMar>
          </w:tcPr>
          <w:p>
            <w:pPr>
              <w:spacing w:after="0"/>
            </w:pPr>
            <w:r>
              <w:rPr>
                <w:rFonts w:ascii="Calibri" w:hAnsi="Calibri"/>
                <w:color w:val="1F2937"/>
                <w:sz w:val="16"/>
              </w:rPr>
              <w:t>Factorial MANOVA and univariate ANOVAs on 500,000 records</w:t>
            </w:r>
          </w:p>
        </w:tc>
        <w:tc>
          <w:tcPr>
            <w:tcW w:type="dxa" w:w="2900"/>
            <w:vAlign w:val="top"/>
            <w:tcMar>
              <w:top w:w="72" w:type="dxa"/>
              <w:start w:w="100" w:type="dxa"/>
              <w:bottom w:w="72" w:type="dxa"/>
              <w:end w:w="100" w:type="dxa"/>
            </w:tcMar>
          </w:tcPr>
          <w:p>
            <w:pPr>
              <w:spacing w:after="0"/>
            </w:pPr>
            <w:r>
              <w:rPr>
                <w:rFonts w:ascii="Calibri" w:hAnsi="Calibri"/>
                <w:color w:val="1F2937"/>
                <w:sz w:val="16"/>
              </w:rPr>
              <w:t>Effect sizes, method-by-factor interactions, and reference-condition post hoc comparisons</w:t>
            </w:r>
          </w:p>
        </w:tc>
        <w:tc>
          <w:tcPr>
            <w:tcW w:type="dxa" w:w="2810"/>
            <w:vAlign w:val="top"/>
            <w:tcMar>
              <w:top w:w="72" w:type="dxa"/>
              <w:start w:w="100" w:type="dxa"/>
              <w:bottom w:w="72" w:type="dxa"/>
              <w:end w:w="100" w:type="dxa"/>
            </w:tcMar>
          </w:tcPr>
          <w:p>
            <w:pPr>
              <w:spacing w:after="0"/>
            </w:pPr>
            <w:r>
              <w:rPr>
                <w:rFonts w:ascii="Calibri" w:hAnsi="Calibri"/>
                <w:color w:val="1F2937"/>
                <w:sz w:val="16"/>
              </w:rPr>
              <w:t>Sequential sums of squares; one reference condition; only RMSE and L1 in MANOVA</w:t>
            </w:r>
          </w:p>
        </w:tc>
      </w:tr>
      <w:tr>
        <w:trPr>
          <w:cantSplit/>
        </w:trPr>
        <w:tc>
          <w:tcPr>
            <w:tcW w:type="dxa" w:w="1250"/>
            <w:shd w:fill="F5F9FC"/>
            <w:vAlign w:val="top"/>
            <w:tcMar>
              <w:top w:w="72" w:type="dxa"/>
              <w:start w:w="100" w:type="dxa"/>
              <w:bottom w:w="72" w:type="dxa"/>
              <w:end w:w="100" w:type="dxa"/>
            </w:tcMar>
          </w:tcPr>
          <w:p>
            <w:pPr>
              <w:spacing w:after="0"/>
            </w:pPr>
            <w:r>
              <w:rPr>
                <w:rFonts w:ascii="Calibri" w:hAnsi="Calibri"/>
                <w:b/>
                <w:color w:val="1F2937"/>
                <w:sz w:val="16"/>
              </w:rPr>
              <w:t>Code B</w:t>
            </w:r>
          </w:p>
        </w:tc>
        <w:tc>
          <w:tcPr>
            <w:tcW w:type="dxa" w:w="2400"/>
            <w:shd w:fill="F5F9FC"/>
            <w:vAlign w:val="top"/>
            <w:tcMar>
              <w:top w:w="72" w:type="dxa"/>
              <w:start w:w="100" w:type="dxa"/>
              <w:bottom w:w="72" w:type="dxa"/>
              <w:end w:w="100" w:type="dxa"/>
            </w:tcMar>
          </w:tcPr>
          <w:p>
            <w:pPr>
              <w:spacing w:after="0"/>
            </w:pPr>
            <w:r>
              <w:rPr>
                <w:rFonts w:ascii="Calibri" w:hAnsi="Calibri"/>
                <w:color w:val="1F2937"/>
                <w:sz w:val="16"/>
              </w:rPr>
              <w:t>Weighted LMM with simplex random intercept, Type III tests, and Holm-adjusted EMMs</w:t>
            </w:r>
          </w:p>
        </w:tc>
        <w:tc>
          <w:tcPr>
            <w:tcW w:type="dxa" w:w="2900"/>
            <w:shd w:fill="F5F9FC"/>
            <w:vAlign w:val="top"/>
            <w:tcMar>
              <w:top w:w="72" w:type="dxa"/>
              <w:start w:w="100" w:type="dxa"/>
              <w:bottom w:w="72" w:type="dxa"/>
              <w:end w:w="100" w:type="dxa"/>
            </w:tcMar>
          </w:tcPr>
          <w:p>
            <w:pPr>
              <w:spacing w:after="0"/>
            </w:pPr>
            <w:r>
              <w:rPr>
                <w:rFonts w:ascii="Calibri" w:hAnsi="Calibri"/>
                <w:color w:val="1F2937"/>
                <w:sz w:val="16"/>
              </w:rPr>
              <w:t>Accounts for shared simplex difficulty and provides metric-specific conditional contrasts</w:t>
            </w:r>
          </w:p>
        </w:tc>
        <w:tc>
          <w:tcPr>
            <w:tcW w:type="dxa" w:w="2810"/>
            <w:shd w:fill="F5F9FC"/>
            <w:vAlign w:val="top"/>
            <w:tcMar>
              <w:top w:w="72" w:type="dxa"/>
              <w:start w:w="100" w:type="dxa"/>
              <w:bottom w:w="72" w:type="dxa"/>
              <w:end w:w="100" w:type="dxa"/>
            </w:tcMar>
          </w:tcPr>
          <w:p>
            <w:pPr>
              <w:spacing w:after="0"/>
            </w:pPr>
            <w:r>
              <w:rPr>
                <w:rFonts w:ascii="Calibri" w:hAnsi="Calibri"/>
                <w:color w:val="1F2937"/>
                <w:sz w:val="16"/>
              </w:rPr>
              <w:t>EMMs evaluated at one condition; no random method slopes; some fitted RMSE means below response support</w:t>
            </w:r>
          </w:p>
        </w:tc>
      </w:tr>
      <w:tr>
        <w:trPr>
          <w:cantSplit/>
        </w:trPr>
        <w:tc>
          <w:tcPr>
            <w:tcW w:type="dxa" w:w="1250"/>
            <w:vAlign w:val="top"/>
            <w:tcMar>
              <w:top w:w="72" w:type="dxa"/>
              <w:start w:w="100" w:type="dxa"/>
              <w:bottom w:w="72" w:type="dxa"/>
              <w:end w:w="100" w:type="dxa"/>
            </w:tcMar>
          </w:tcPr>
          <w:p>
            <w:pPr>
              <w:spacing w:after="0"/>
            </w:pPr>
            <w:r>
              <w:rPr>
                <w:rFonts w:ascii="Calibri" w:hAnsi="Calibri"/>
                <w:b/>
                <w:color w:val="1F2937"/>
                <w:sz w:val="16"/>
              </w:rPr>
              <w:t>Code C-D</w:t>
            </w:r>
          </w:p>
        </w:tc>
        <w:tc>
          <w:tcPr>
            <w:tcW w:type="dxa" w:w="2400"/>
            <w:vAlign w:val="top"/>
            <w:tcMar>
              <w:top w:w="72" w:type="dxa"/>
              <w:start w:w="100" w:type="dxa"/>
              <w:bottom w:w="72" w:type="dxa"/>
              <w:end w:w="100" w:type="dxa"/>
            </w:tcMar>
          </w:tcPr>
          <w:p>
            <w:pPr>
              <w:spacing w:after="0"/>
            </w:pPr>
            <w:r>
              <w:rPr>
                <w:rFonts w:ascii="Calibri" w:hAnsi="Calibri"/>
                <w:color w:val="1F2937"/>
                <w:sz w:val="16"/>
              </w:rPr>
              <w:t>Matched pairwise Hotelling/Pillai tests plus additive factorial MANOVAs and ANOVAs</w:t>
            </w:r>
          </w:p>
        </w:tc>
        <w:tc>
          <w:tcPr>
            <w:tcW w:type="dxa" w:w="2900"/>
            <w:vAlign w:val="top"/>
            <w:tcMar>
              <w:top w:w="72" w:type="dxa"/>
              <w:start w:w="100" w:type="dxa"/>
              <w:bottom w:w="72" w:type="dxa"/>
              <w:end w:w="100" w:type="dxa"/>
            </w:tcMar>
          </w:tcPr>
          <w:p>
            <w:pPr>
              <w:spacing w:after="0"/>
            </w:pPr>
            <w:r>
              <w:rPr>
                <w:rFonts w:ascii="Calibri" w:hAnsi="Calibri"/>
                <w:color w:val="1F2937"/>
                <w:sz w:val="16"/>
              </w:rPr>
              <w:t>Global log-ratio effect sizes and the clearest overall leaderboard</w:t>
            </w:r>
          </w:p>
        </w:tc>
        <w:tc>
          <w:tcPr>
            <w:tcW w:type="dxa" w:w="2810"/>
            <w:vAlign w:val="top"/>
            <w:tcMar>
              <w:top w:w="72" w:type="dxa"/>
              <w:start w:w="100" w:type="dxa"/>
              <w:bottom w:w="72" w:type="dxa"/>
              <w:end w:w="100" w:type="dxa"/>
            </w:tcMar>
          </w:tcPr>
          <w:p>
            <w:pPr>
              <w:spacing w:after="0"/>
            </w:pPr>
            <w:r>
              <w:rPr>
                <w:rFonts w:ascii="Calibri" w:hAnsi="Calibri"/>
                <w:color w:val="1F2937"/>
                <w:sz w:val="16"/>
              </w:rPr>
              <w:t>Code D contains main effects but no interactions or factor-level directional contrasts</w:t>
            </w:r>
          </w:p>
        </w:tc>
      </w:tr>
      <w:tr>
        <w:trPr>
          <w:cantSplit/>
        </w:trPr>
        <w:tc>
          <w:tcPr>
            <w:tcW w:type="dxa" w:w="1250"/>
            <w:shd w:fill="F5F9FC"/>
            <w:vAlign w:val="top"/>
            <w:tcMar>
              <w:top w:w="72" w:type="dxa"/>
              <w:start w:w="100" w:type="dxa"/>
              <w:bottom w:w="72" w:type="dxa"/>
              <w:end w:w="100" w:type="dxa"/>
            </w:tcMar>
          </w:tcPr>
          <w:p>
            <w:pPr>
              <w:spacing w:after="0"/>
            </w:pPr>
            <w:r>
              <w:rPr>
                <w:rFonts w:ascii="Calibri" w:hAnsi="Calibri"/>
                <w:b/>
                <w:color w:val="1F2937"/>
                <w:sz w:val="16"/>
              </w:rPr>
              <w:t>Code E</w:t>
            </w:r>
          </w:p>
        </w:tc>
        <w:tc>
          <w:tcPr>
            <w:tcW w:type="dxa" w:w="2400"/>
            <w:shd w:fill="F5F9FC"/>
            <w:vAlign w:val="top"/>
            <w:tcMar>
              <w:top w:w="72" w:type="dxa"/>
              <w:start w:w="100" w:type="dxa"/>
              <w:bottom w:w="72" w:type="dxa"/>
              <w:end w:w="100" w:type="dxa"/>
            </w:tcMar>
          </w:tcPr>
          <w:p>
            <w:pPr>
              <w:spacing w:after="0"/>
            </w:pPr>
            <w:r>
              <w:rPr>
                <w:rFonts w:ascii="Calibri" w:hAnsi="Calibri"/>
                <w:color w:val="1F2937"/>
                <w:sz w:val="16"/>
              </w:rPr>
              <w:t>Global GAM and v-versus-iii absolute-gap GAM with p1-p2 smooths</w:t>
            </w:r>
          </w:p>
        </w:tc>
        <w:tc>
          <w:tcPr>
            <w:tcW w:type="dxa" w:w="2900"/>
            <w:shd w:fill="F5F9FC"/>
            <w:vAlign w:val="top"/>
            <w:tcMar>
              <w:top w:w="72" w:type="dxa"/>
              <w:start w:w="100" w:type="dxa"/>
              <w:bottom w:w="72" w:type="dxa"/>
              <w:end w:w="100" w:type="dxa"/>
            </w:tcMar>
          </w:tcPr>
          <w:p>
            <w:pPr>
              <w:spacing w:after="0"/>
            </w:pPr>
            <w:r>
              <w:rPr>
                <w:rFonts w:ascii="Calibri" w:hAnsi="Calibri"/>
                <w:color w:val="1F2937"/>
                <w:sz w:val="16"/>
              </w:rPr>
              <w:t>Nonlinear simplex morphology, basis checks, and residual diagnostics</w:t>
            </w:r>
          </w:p>
        </w:tc>
        <w:tc>
          <w:tcPr>
            <w:tcW w:type="dxa" w:w="2810"/>
            <w:shd w:fill="F5F9FC"/>
            <w:vAlign w:val="top"/>
            <w:tcMar>
              <w:top w:w="72" w:type="dxa"/>
              <w:start w:w="100" w:type="dxa"/>
              <w:bottom w:w="72" w:type="dxa"/>
              <w:end w:w="100" w:type="dxa"/>
            </w:tcMar>
          </w:tcPr>
          <w:p>
            <w:pPr>
              <w:spacing w:after="0"/>
            </w:pPr>
            <w:r>
              <w:rPr>
                <w:rFonts w:ascii="Calibri" w:hAnsi="Calibri"/>
                <w:color w:val="1F2937"/>
                <w:sz w:val="16"/>
              </w:rPr>
              <w:t>Gaussian residual assumptions fail; v-versus-iii gap is unsigned and cannot identify the local winner</w:t>
            </w:r>
          </w:p>
        </w:tc>
      </w:tr>
    </w:tbl>
    <w:p>
      <w:pPr>
        <w:spacing w:after="0"/>
      </w:pPr>
    </w:p>
    <w:p>
      <w:pPr>
        <w:keepLines w:val="0"/>
      </w:pPr>
      <w:r>
        <w:t>The reports do not estimate exactly the same target. Codes A and B use log(1 + error) and evaluate contrasts at different reference conditions. Code C-D uses matched signed log-differences and therefore estimates geometric mean error ratios over the sampled design. Code E models a pooled log(1 + accuracy) response and an unsigned log(1 + absolute raw difference) for v versus iii. The apparent rank changes among the top three methods are therefore scientifically informative evidence of condition and metric dependence, not simple contradictions.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72" w:type="dxa"/>
              <w:start w:w="100" w:type="dxa"/>
              <w:bottom w:w="72" w:type="dxa"/>
              <w:end w:w="100" w:type="dxa"/>
            </w:tcMar>
            <w:shd w:fill="F3F4F6"/>
            <w:vAlign w:val="center"/>
          </w:tcPr>
          <w:p>
            <w:pPr>
              <w:keepLines/>
              <w:spacing w:after="0"/>
            </w:pPr>
            <w:r>
              <w:rPr>
                <w:rFonts w:ascii="Calibri" w:hAnsi="Calibri"/>
                <w:b/>
                <w:color w:val="1F4D78"/>
                <w:sz w:val="20"/>
              </w:rPr>
              <w:t xml:space="preserve">Interpretive rule. </w:t>
            </w:r>
            <w:r>
              <w:rPr>
                <w:rFonts w:ascii="Calibri" w:hAnsi="Calibri"/>
                <w:color w:val="1F2937"/>
                <w:sz w:val="20"/>
              </w:rPr>
              <w:t>Global matched log-ratios are used to order methods for general application; reference-condition EMMs and GAM contrasts are used to assess robustness and specialization. Differences smaller than about 1% are treated as practically small unless a scientific equivalence margin indicates otherwise.</w:t>
            </w:r>
          </w:p>
        </w:tc>
      </w:tr>
    </w:tbl>
    <w:p>
      <w:pPr>
        <w:spacing w:after="0"/>
      </w:pPr>
    </w:p>
    <w:p>
      <w:pPr>
        <w:pStyle w:val="Heading1"/>
      </w:pPr>
      <w:r>
        <w:t>2. Comparative performance of methods i-v</w:t>
      </w:r>
    </w:p>
    <w:p>
      <w:pPr>
        <w:pStyle w:val="Heading2"/>
      </w:pPr>
      <w:r>
        <w:t>2.1 Cross-analysis evidence</w:t>
      </w:r>
    </w:p>
    <w:tbl>
      <w:tblPr>
        <w:tblStyle w:val="TableGrid"/>
        <w:tblW w:type="dxa" w:w="9360"/>
        <w:jc w:val="left"/>
        <w:tblLayout w:type="fixed"/>
        <w:tblLook w:firstColumn="1" w:firstRow="1" w:lastColumn="0" w:lastRow="0" w:noHBand="0" w:noVBand="1" w:val="04A0"/>
        <w:tblInd w:w="120" w:type="dxa"/>
      </w:tblPr>
      <w:tblGrid>
        <w:gridCol w:w="1200"/>
        <w:gridCol w:w="2850"/>
        <w:gridCol w:w="5310"/>
      </w:tblGrid>
      <w:tr>
        <w:trPr>
          <w:tblHeader w:val="true"/>
          <w:cantSplit/>
        </w:trPr>
        <w:tc>
          <w:tcPr>
            <w:tcW w:type="dxa" w:w="1200"/>
            <w:shd w:fill="2E74B5"/>
            <w:vAlign w:val="center"/>
            <w:tcMar>
              <w:top w:w="72" w:type="dxa"/>
              <w:start w:w="100" w:type="dxa"/>
              <w:bottom w:w="72" w:type="dxa"/>
              <w:end w:w="100" w:type="dxa"/>
            </w:tcMar>
          </w:tcPr>
          <w:p>
            <w:pPr>
              <w:keepNext/>
              <w:spacing w:after="0"/>
            </w:pPr>
            <w:r>
              <w:rPr>
                <w:rFonts w:ascii="Calibri" w:hAnsi="Calibri"/>
                <w:b/>
                <w:color w:val="FFFFFF"/>
                <w:sz w:val="17"/>
              </w:rPr>
              <w:t>Analysis</w:t>
            </w:r>
          </w:p>
        </w:tc>
        <w:tc>
          <w:tcPr>
            <w:tcW w:type="dxa" w:w="2850"/>
            <w:shd w:fill="2E74B5"/>
            <w:vAlign w:val="center"/>
            <w:tcMar>
              <w:top w:w="72" w:type="dxa"/>
              <w:start w:w="100" w:type="dxa"/>
              <w:bottom w:w="72" w:type="dxa"/>
              <w:end w:w="100" w:type="dxa"/>
            </w:tcMar>
          </w:tcPr>
          <w:p>
            <w:pPr>
              <w:keepNext/>
              <w:spacing w:after="0"/>
            </w:pPr>
            <w:r>
              <w:rPr>
                <w:rFonts w:ascii="Calibri" w:hAnsi="Calibri"/>
                <w:b/>
                <w:color w:val="FFFFFF"/>
                <w:sz w:val="17"/>
              </w:rPr>
              <w:t>Best-supported ordering (lower error is better)</w:t>
            </w:r>
          </w:p>
        </w:tc>
        <w:tc>
          <w:tcPr>
            <w:tcW w:type="dxa" w:w="5310"/>
            <w:shd w:fill="2E74B5"/>
            <w:vAlign w:val="center"/>
            <w:tcMar>
              <w:top w:w="72" w:type="dxa"/>
              <w:start w:w="100" w:type="dxa"/>
              <w:bottom w:w="72" w:type="dxa"/>
              <w:end w:w="100" w:type="dxa"/>
            </w:tcMar>
          </w:tcPr>
          <w:p>
            <w:pPr>
              <w:keepNext/>
              <w:spacing w:after="0"/>
            </w:pPr>
            <w:r>
              <w:rPr>
                <w:rFonts w:ascii="Calibri" w:hAnsi="Calibri"/>
                <w:b/>
                <w:color w:val="FFFFFF"/>
                <w:sz w:val="17"/>
              </w:rPr>
              <w:t>Interpretation</w:t>
            </w:r>
          </w:p>
        </w:tc>
      </w:tr>
      <w:tr>
        <w:trPr>
          <w:cantSplit/>
        </w:trPr>
        <w:tc>
          <w:tcPr>
            <w:tcW w:type="dxa" w:w="1200"/>
            <w:vAlign w:val="top"/>
            <w:tcMar>
              <w:top w:w="72" w:type="dxa"/>
              <w:start w:w="100" w:type="dxa"/>
              <w:bottom w:w="72" w:type="dxa"/>
              <w:end w:w="100" w:type="dxa"/>
            </w:tcMar>
          </w:tcPr>
          <w:p>
            <w:pPr>
              <w:spacing w:after="0"/>
            </w:pPr>
            <w:r>
              <w:rPr>
                <w:rFonts w:ascii="Calibri" w:hAnsi="Calibri"/>
                <w:b/>
                <w:color w:val="1F2937"/>
                <w:sz w:val="17"/>
              </w:rPr>
              <w:t>Code A</w:t>
            </w:r>
          </w:p>
        </w:tc>
        <w:tc>
          <w:tcPr>
            <w:tcW w:type="dxa" w:w="2850"/>
            <w:vAlign w:val="top"/>
            <w:tcMar>
              <w:top w:w="72" w:type="dxa"/>
              <w:start w:w="100" w:type="dxa"/>
              <w:bottom w:w="72" w:type="dxa"/>
              <w:end w:w="100" w:type="dxa"/>
            </w:tcMar>
          </w:tcPr>
          <w:p>
            <w:pPr>
              <w:spacing w:after="0"/>
            </w:pPr>
            <w:r>
              <w:rPr>
                <w:rFonts w:ascii="Calibri" w:hAnsi="Calibri"/>
                <w:color w:val="1F2937"/>
                <w:sz w:val="17"/>
              </w:rPr>
              <w:t>v &gt; iv approximately iii &gt; i &gt; ii</w:t>
            </w:r>
          </w:p>
        </w:tc>
        <w:tc>
          <w:tcPr>
            <w:tcW w:type="dxa" w:w="5310"/>
            <w:vAlign w:val="top"/>
            <w:tcMar>
              <w:top w:w="72" w:type="dxa"/>
              <w:start w:w="100" w:type="dxa"/>
              <w:bottom w:w="72" w:type="dxa"/>
              <w:end w:w="100" w:type="dxa"/>
            </w:tcMar>
          </w:tcPr>
          <w:p>
            <w:pPr>
              <w:spacing w:after="0"/>
            </w:pPr>
            <w:r>
              <w:rPr>
                <w:rFonts w:ascii="Calibri" w:hAnsi="Calibri"/>
                <w:color w:val="1F2937"/>
                <w:sz w:val="17"/>
              </w:rPr>
              <w:t>v was lowest on RMSE, L1, and Linf at a high-noise negative-binomial reference condition; iii and iv were close</w:t>
            </w:r>
          </w:p>
        </w:tc>
      </w:tr>
      <w:tr>
        <w:trPr>
          <w:cantSplit/>
        </w:trPr>
        <w:tc>
          <w:tcPr>
            <w:tcW w:type="dxa" w:w="1200"/>
            <w:shd w:fill="F5F9FC"/>
            <w:vAlign w:val="top"/>
            <w:tcMar>
              <w:top w:w="72" w:type="dxa"/>
              <w:start w:w="100" w:type="dxa"/>
              <w:bottom w:w="72" w:type="dxa"/>
              <w:end w:w="100" w:type="dxa"/>
            </w:tcMar>
          </w:tcPr>
          <w:p>
            <w:pPr>
              <w:spacing w:after="0"/>
            </w:pPr>
            <w:r>
              <w:rPr>
                <w:rFonts w:ascii="Calibri" w:hAnsi="Calibri"/>
                <w:b/>
                <w:color w:val="1F2937"/>
                <w:sz w:val="17"/>
              </w:rPr>
              <w:t>Code B</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7"/>
              </w:rPr>
              <w:t>iii approximately iv &gt; v &gt; i/ii</w:t>
            </w:r>
          </w:p>
        </w:tc>
        <w:tc>
          <w:tcPr>
            <w:tcW w:type="dxa" w:w="5310"/>
            <w:shd w:fill="F5F9FC"/>
            <w:vAlign w:val="top"/>
            <w:tcMar>
              <w:top w:w="72" w:type="dxa"/>
              <w:start w:w="100" w:type="dxa"/>
              <w:bottom w:w="72" w:type="dxa"/>
              <w:end w:w="100" w:type="dxa"/>
            </w:tcMar>
          </w:tcPr>
          <w:p>
            <w:pPr>
              <w:spacing w:after="0"/>
            </w:pPr>
            <w:r>
              <w:rPr>
                <w:rFonts w:ascii="Calibri" w:hAnsi="Calibri"/>
                <w:color w:val="1F2937"/>
                <w:sz w:val="17"/>
              </w:rPr>
              <w:t>iii and iv led at a low-noise Poisson reference condition; i and ii crossed by metric and were tied overall</w:t>
            </w:r>
          </w:p>
        </w:tc>
      </w:tr>
      <w:tr>
        <w:trPr>
          <w:cantSplit/>
        </w:trPr>
        <w:tc>
          <w:tcPr>
            <w:tcW w:type="dxa" w:w="1200"/>
            <w:vAlign w:val="top"/>
            <w:tcMar>
              <w:top w:w="72" w:type="dxa"/>
              <w:start w:w="100" w:type="dxa"/>
              <w:bottom w:w="72" w:type="dxa"/>
              <w:end w:w="100" w:type="dxa"/>
            </w:tcMar>
          </w:tcPr>
          <w:p>
            <w:pPr>
              <w:spacing w:after="0"/>
            </w:pPr>
            <w:r>
              <w:rPr>
                <w:rFonts w:ascii="Calibri" w:hAnsi="Calibri"/>
                <w:b/>
                <w:color w:val="1F2937"/>
                <w:sz w:val="17"/>
              </w:rPr>
              <w:t>Code C-D</w:t>
            </w:r>
          </w:p>
        </w:tc>
        <w:tc>
          <w:tcPr>
            <w:tcW w:type="dxa" w:w="2850"/>
            <w:vAlign w:val="top"/>
            <w:tcMar>
              <w:top w:w="72" w:type="dxa"/>
              <w:start w:w="100" w:type="dxa"/>
              <w:bottom w:w="72" w:type="dxa"/>
              <w:end w:w="100" w:type="dxa"/>
            </w:tcMar>
          </w:tcPr>
          <w:p>
            <w:pPr>
              <w:spacing w:after="0"/>
            </w:pPr>
            <w:r>
              <w:rPr>
                <w:rFonts w:ascii="Calibri" w:hAnsi="Calibri"/>
                <w:color w:val="1F2937"/>
                <w:sz w:val="17"/>
              </w:rPr>
              <w:t>v &gt; iii &gt; iv &gt; i &gt; ii</w:t>
            </w:r>
          </w:p>
        </w:tc>
        <w:tc>
          <w:tcPr>
            <w:tcW w:type="dxa" w:w="5310"/>
            <w:vAlign w:val="top"/>
            <w:tcMar>
              <w:top w:w="72" w:type="dxa"/>
              <w:start w:w="100" w:type="dxa"/>
              <w:bottom w:w="72" w:type="dxa"/>
              <w:end w:w="100" w:type="dxa"/>
            </w:tcMar>
          </w:tcPr>
          <w:p>
            <w:pPr>
              <w:spacing w:after="0"/>
            </w:pPr>
            <w:r>
              <w:rPr>
                <w:rFonts w:ascii="Calibri" w:hAnsi="Calibri"/>
                <w:color w:val="1F2937"/>
                <w:sz w:val="17"/>
              </w:rPr>
              <w:t>All ten pairwise multivariate tests were significant; v and iii differed by only 0.11-0.16%</w:t>
            </w:r>
          </w:p>
        </w:tc>
      </w:tr>
      <w:tr>
        <w:trPr>
          <w:cantSplit/>
        </w:trPr>
        <w:tc>
          <w:tcPr>
            <w:tcW w:type="dxa" w:w="1200"/>
            <w:shd w:fill="F5F9FC"/>
            <w:vAlign w:val="top"/>
            <w:tcMar>
              <w:top w:w="72" w:type="dxa"/>
              <w:start w:w="100" w:type="dxa"/>
              <w:bottom w:w="72" w:type="dxa"/>
              <w:end w:w="100" w:type="dxa"/>
            </w:tcMar>
          </w:tcPr>
          <w:p>
            <w:pPr>
              <w:spacing w:after="0"/>
            </w:pPr>
            <w:r>
              <w:rPr>
                <w:rFonts w:ascii="Calibri" w:hAnsi="Calibri"/>
                <w:b/>
                <w:color w:val="1F2937"/>
                <w:sz w:val="17"/>
              </w:rPr>
              <w:t>Code E</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7"/>
              </w:rPr>
              <w:t>iii/iv/v leading cluster &gt; i &gt; ii</w:t>
            </w:r>
          </w:p>
        </w:tc>
        <w:tc>
          <w:tcPr>
            <w:tcW w:type="dxa" w:w="5310"/>
            <w:shd w:fill="F5F9FC"/>
            <w:vAlign w:val="top"/>
            <w:tcMar>
              <w:top w:w="72" w:type="dxa"/>
              <w:start w:w="100" w:type="dxa"/>
              <w:bottom w:w="72" w:type="dxa"/>
              <w:end w:w="100" w:type="dxa"/>
            </w:tcMar>
          </w:tcPr>
          <w:p>
            <w:pPr>
              <w:spacing w:after="0"/>
            </w:pPr>
            <w:r>
              <w:rPr>
                <w:rFonts w:ascii="Calibri" w:hAnsi="Calibri"/>
                <w:color w:val="1F2937"/>
                <w:sz w:val="17"/>
              </w:rPr>
              <w:t>iii led conditional L1; iv led conditional RMSE and Linf; v remained close to both</w:t>
            </w:r>
          </w:p>
        </w:tc>
      </w:tr>
    </w:tbl>
    <w:p>
      <w:pPr>
        <w:spacing w:after="0"/>
      </w:pPr>
    </w:p>
    <w:p>
      <w:pPr>
        <w:keepLines w:val="0"/>
      </w:pPr>
      <w:r>
        <w:t>The repeated separation of iii-v from i-ii is more stable than the ordering within the leading group. All four analyses place iii, iv, and v ahead of method i under their principal summaries. Three analyses place method ii last; Code B is the exception because ii is better than i for RMSE and Linf at its specific reference condition, while i is better than ii for L1.</w:t>
      </w:r>
    </w:p>
    <w:p>
      <w:pPr>
        <w:pStyle w:val="Heading2"/>
      </w:pPr>
      <w:r>
        <w:t>2.2 Integrated ranking and rationale</w:t>
      </w:r>
    </w:p>
    <w:tbl>
      <w:tblPr>
        <w:tblStyle w:val="TableGrid"/>
        <w:tblW w:type="dxa" w:w="9360"/>
        <w:jc w:val="left"/>
        <w:tblLayout w:type="fixed"/>
        <w:tblLook w:firstColumn="1" w:firstRow="1" w:lastColumn="0" w:lastRow="0" w:noHBand="0" w:noVBand="1" w:val="04A0"/>
        <w:tblInd w:w="120" w:type="dxa"/>
      </w:tblPr>
      <w:tblGrid>
        <w:gridCol w:w="600"/>
        <w:gridCol w:w="900"/>
        <w:gridCol w:w="4140"/>
        <w:gridCol w:w="3720"/>
      </w:tblGrid>
      <w:tr>
        <w:trPr>
          <w:tblHeader w:val="true"/>
          <w:cantSplit/>
        </w:trPr>
        <w:tc>
          <w:tcPr>
            <w:tcW w:type="dxa" w:w="600"/>
            <w:shd w:fill="2E74B5"/>
            <w:vAlign w:val="center"/>
            <w:tcMar>
              <w:top w:w="72" w:type="dxa"/>
              <w:start w:w="100" w:type="dxa"/>
              <w:bottom w:w="72" w:type="dxa"/>
              <w:end w:w="100" w:type="dxa"/>
            </w:tcMar>
          </w:tcPr>
          <w:p>
            <w:pPr>
              <w:keepNext/>
              <w:spacing w:after="0"/>
            </w:pPr>
            <w:r>
              <w:rPr>
                <w:rFonts w:ascii="Calibri" w:hAnsi="Calibri"/>
                <w:b/>
                <w:color w:val="FFFFFF"/>
                <w:sz w:val="16"/>
              </w:rPr>
              <w:t>Rank</w:t>
            </w:r>
          </w:p>
        </w:tc>
        <w:tc>
          <w:tcPr>
            <w:tcW w:type="dxa" w:w="900"/>
            <w:shd w:fill="2E74B5"/>
            <w:vAlign w:val="center"/>
            <w:tcMar>
              <w:top w:w="72" w:type="dxa"/>
              <w:start w:w="100" w:type="dxa"/>
              <w:bottom w:w="72" w:type="dxa"/>
              <w:end w:w="100" w:type="dxa"/>
            </w:tcMar>
          </w:tcPr>
          <w:p>
            <w:pPr>
              <w:keepNext/>
              <w:spacing w:after="0"/>
            </w:pPr>
            <w:r>
              <w:rPr>
                <w:rFonts w:ascii="Calibri" w:hAnsi="Calibri"/>
                <w:b/>
                <w:color w:val="FFFFFF"/>
                <w:sz w:val="16"/>
              </w:rPr>
              <w:t>Method</w:t>
            </w:r>
          </w:p>
        </w:tc>
        <w:tc>
          <w:tcPr>
            <w:tcW w:type="dxa" w:w="4140"/>
            <w:shd w:fill="2E74B5"/>
            <w:vAlign w:val="center"/>
            <w:tcMar>
              <w:top w:w="72" w:type="dxa"/>
              <w:start w:w="100" w:type="dxa"/>
              <w:bottom w:w="72" w:type="dxa"/>
              <w:end w:w="100" w:type="dxa"/>
            </w:tcMar>
          </w:tcPr>
          <w:p>
            <w:pPr>
              <w:keepNext/>
              <w:spacing w:after="0"/>
            </w:pPr>
            <w:r>
              <w:rPr>
                <w:rFonts w:ascii="Calibri" w:hAnsi="Calibri"/>
                <w:b/>
                <w:color w:val="FFFFFF"/>
                <w:sz w:val="16"/>
              </w:rPr>
              <w:t>Evidence-weighted assessment</w:t>
            </w:r>
          </w:p>
        </w:tc>
        <w:tc>
          <w:tcPr>
            <w:tcW w:type="dxa" w:w="3720"/>
            <w:shd w:fill="2E74B5"/>
            <w:vAlign w:val="center"/>
            <w:tcMar>
              <w:top w:w="72" w:type="dxa"/>
              <w:start w:w="100" w:type="dxa"/>
              <w:bottom w:w="72" w:type="dxa"/>
              <w:end w:w="100" w:type="dxa"/>
            </w:tcMar>
          </w:tcPr>
          <w:p>
            <w:pPr>
              <w:keepNext/>
              <w:spacing w:after="0"/>
            </w:pPr>
            <w:r>
              <w:rPr>
                <w:rFonts w:ascii="Calibri" w:hAnsi="Calibri"/>
                <w:b/>
                <w:color w:val="FFFFFF"/>
                <w:sz w:val="16"/>
              </w:rPr>
              <w:t>Practical interpretation</w:t>
            </w:r>
          </w:p>
        </w:tc>
      </w:tr>
      <w:tr>
        <w:trPr>
          <w:cantSplit/>
        </w:trPr>
        <w:tc>
          <w:tcPr>
            <w:tcW w:type="dxa" w:w="600"/>
            <w:vAlign w:val="top"/>
            <w:tcMar>
              <w:top w:w="72" w:type="dxa"/>
              <w:start w:w="100" w:type="dxa"/>
              <w:bottom w:w="72" w:type="dxa"/>
              <w:end w:w="100" w:type="dxa"/>
            </w:tcMar>
          </w:tcPr>
          <w:p>
            <w:pPr>
              <w:spacing w:after="0"/>
            </w:pPr>
            <w:r>
              <w:rPr>
                <w:rFonts w:ascii="Calibri" w:hAnsi="Calibri"/>
                <w:b/>
                <w:color w:val="1F2937"/>
                <w:sz w:val="16"/>
              </w:rPr>
              <w:t>1</w:t>
            </w:r>
          </w:p>
        </w:tc>
        <w:tc>
          <w:tcPr>
            <w:tcW w:type="dxa" w:w="900"/>
            <w:vAlign w:val="top"/>
            <w:tcMar>
              <w:top w:w="72" w:type="dxa"/>
              <w:start w:w="100" w:type="dxa"/>
              <w:bottom w:w="72" w:type="dxa"/>
              <w:end w:w="100" w:type="dxa"/>
            </w:tcMar>
          </w:tcPr>
          <w:p>
            <w:pPr>
              <w:spacing w:after="0"/>
            </w:pPr>
            <w:r>
              <w:rPr>
                <w:rFonts w:ascii="Calibri" w:hAnsi="Calibri"/>
                <w:color w:val="1F2937"/>
                <w:sz w:val="16"/>
              </w:rPr>
              <w:t>v</w:t>
            </w:r>
          </w:p>
        </w:tc>
        <w:tc>
          <w:tcPr>
            <w:tcW w:type="dxa" w:w="4140"/>
            <w:vAlign w:val="top"/>
            <w:tcMar>
              <w:top w:w="72" w:type="dxa"/>
              <w:start w:w="100" w:type="dxa"/>
              <w:bottom w:w="72" w:type="dxa"/>
              <w:end w:w="100" w:type="dxa"/>
            </w:tcMar>
          </w:tcPr>
          <w:p>
            <w:pPr>
              <w:spacing w:after="0"/>
            </w:pPr>
            <w:r>
              <w:rPr>
                <w:rFonts w:ascii="Calibri" w:hAnsi="Calibri"/>
                <w:color w:val="1F2937"/>
                <w:sz w:val="16"/>
              </w:rPr>
              <w:t>Global leader in Code C-D and all-metric leader in Code A; close to leaders in B and E</w:t>
            </w:r>
          </w:p>
        </w:tc>
        <w:tc>
          <w:tcPr>
            <w:tcW w:type="dxa" w:w="3720"/>
            <w:vAlign w:val="top"/>
            <w:tcMar>
              <w:top w:w="72" w:type="dxa"/>
              <w:start w:w="100" w:type="dxa"/>
              <w:bottom w:w="72" w:type="dxa"/>
              <w:end w:w="100" w:type="dxa"/>
            </w:tcMar>
          </w:tcPr>
          <w:p>
            <w:pPr>
              <w:spacing w:after="0"/>
            </w:pPr>
            <w:r>
              <w:rPr>
                <w:rFonts w:ascii="Calibri" w:hAnsi="Calibri"/>
                <w:color w:val="1F2937"/>
                <w:sz w:val="16"/>
              </w:rPr>
              <w:t>Preferred default when a single method is required; not proven uniformly superior</w:t>
            </w:r>
          </w:p>
        </w:tc>
      </w:tr>
      <w:tr>
        <w:trPr>
          <w:cantSplit/>
        </w:trPr>
        <w:tc>
          <w:tcPr>
            <w:tcW w:type="dxa" w:w="600"/>
            <w:shd w:fill="F5F9FC"/>
            <w:vAlign w:val="top"/>
            <w:tcMar>
              <w:top w:w="72" w:type="dxa"/>
              <w:start w:w="100" w:type="dxa"/>
              <w:bottom w:w="72" w:type="dxa"/>
              <w:end w:w="100" w:type="dxa"/>
            </w:tcMar>
          </w:tcPr>
          <w:p>
            <w:pPr>
              <w:spacing w:after="0"/>
            </w:pPr>
            <w:r>
              <w:rPr>
                <w:rFonts w:ascii="Calibri" w:hAnsi="Calibri"/>
                <w:b/>
                <w:color w:val="1F2937"/>
                <w:sz w:val="16"/>
              </w:rPr>
              <w:t>2</w:t>
            </w:r>
          </w:p>
        </w:tc>
        <w:tc>
          <w:tcPr>
            <w:tcW w:type="dxa" w:w="900"/>
            <w:shd w:fill="F5F9FC"/>
            <w:vAlign w:val="top"/>
            <w:tcMar>
              <w:top w:w="72" w:type="dxa"/>
              <w:start w:w="100" w:type="dxa"/>
              <w:bottom w:w="72" w:type="dxa"/>
              <w:end w:w="100" w:type="dxa"/>
            </w:tcMar>
          </w:tcPr>
          <w:p>
            <w:pPr>
              <w:spacing w:after="0"/>
            </w:pPr>
            <w:r>
              <w:rPr>
                <w:rFonts w:ascii="Calibri" w:hAnsi="Calibri"/>
                <w:color w:val="1F2937"/>
                <w:sz w:val="16"/>
              </w:rPr>
              <w:t>iii</w:t>
            </w:r>
          </w:p>
        </w:tc>
        <w:tc>
          <w:tcPr>
            <w:tcW w:type="dxa" w:w="4140"/>
            <w:shd w:fill="F5F9FC"/>
            <w:vAlign w:val="top"/>
            <w:tcMar>
              <w:top w:w="72" w:type="dxa"/>
              <w:start w:w="100" w:type="dxa"/>
              <w:bottom w:w="72" w:type="dxa"/>
              <w:end w:w="100" w:type="dxa"/>
            </w:tcMar>
          </w:tcPr>
          <w:p>
            <w:pPr>
              <w:spacing w:after="0"/>
            </w:pPr>
            <w:r>
              <w:rPr>
                <w:rFonts w:ascii="Calibri" w:hAnsi="Calibri"/>
                <w:color w:val="1F2937"/>
                <w:sz w:val="16"/>
              </w:rPr>
              <w:t>Only 0.11-0.16% behind v globally; co-leader in B; conditional L1 leader in E</w:t>
            </w:r>
          </w:p>
        </w:tc>
        <w:tc>
          <w:tcPr>
            <w:tcW w:type="dxa" w:w="3720"/>
            <w:shd w:fill="F5F9FC"/>
            <w:vAlign w:val="top"/>
            <w:tcMar>
              <w:top w:w="72" w:type="dxa"/>
              <w:start w:w="100" w:type="dxa"/>
              <w:bottom w:w="72" w:type="dxa"/>
              <w:end w:w="100" w:type="dxa"/>
            </w:tcMar>
          </w:tcPr>
          <w:p>
            <w:pPr>
              <w:spacing w:after="0"/>
            </w:pPr>
            <w:r>
              <w:rPr>
                <w:rFonts w:ascii="Calibri" w:hAnsi="Calibri"/>
                <w:color w:val="1F2937"/>
                <w:sz w:val="16"/>
              </w:rPr>
              <w:t>Practically equivalent to v for many applications; greater simplex-location sensitivity</w:t>
            </w:r>
          </w:p>
        </w:tc>
      </w:tr>
      <w:tr>
        <w:trPr>
          <w:cantSplit/>
        </w:trPr>
        <w:tc>
          <w:tcPr>
            <w:tcW w:type="dxa" w:w="600"/>
            <w:vAlign w:val="top"/>
            <w:tcMar>
              <w:top w:w="72" w:type="dxa"/>
              <w:start w:w="100" w:type="dxa"/>
              <w:bottom w:w="72" w:type="dxa"/>
              <w:end w:w="100" w:type="dxa"/>
            </w:tcMar>
          </w:tcPr>
          <w:p>
            <w:pPr>
              <w:spacing w:after="0"/>
            </w:pPr>
            <w:r>
              <w:rPr>
                <w:rFonts w:ascii="Calibri" w:hAnsi="Calibri"/>
                <w:b/>
                <w:color w:val="1F2937"/>
                <w:sz w:val="16"/>
              </w:rPr>
              <w:t>3</w:t>
            </w:r>
          </w:p>
        </w:tc>
        <w:tc>
          <w:tcPr>
            <w:tcW w:type="dxa" w:w="900"/>
            <w:vAlign w:val="top"/>
            <w:tcMar>
              <w:top w:w="72" w:type="dxa"/>
              <w:start w:w="100" w:type="dxa"/>
              <w:bottom w:w="72" w:type="dxa"/>
              <w:end w:w="100" w:type="dxa"/>
            </w:tcMar>
          </w:tcPr>
          <w:p>
            <w:pPr>
              <w:spacing w:after="0"/>
            </w:pPr>
            <w:r>
              <w:rPr>
                <w:rFonts w:ascii="Calibri" w:hAnsi="Calibri"/>
                <w:color w:val="1F2937"/>
                <w:sz w:val="16"/>
              </w:rPr>
              <w:t>iv</w:t>
            </w:r>
          </w:p>
        </w:tc>
        <w:tc>
          <w:tcPr>
            <w:tcW w:type="dxa" w:w="4140"/>
            <w:vAlign w:val="top"/>
            <w:tcMar>
              <w:top w:w="72" w:type="dxa"/>
              <w:start w:w="100" w:type="dxa"/>
              <w:bottom w:w="72" w:type="dxa"/>
              <w:end w:w="100" w:type="dxa"/>
            </w:tcMar>
          </w:tcPr>
          <w:p>
            <w:pPr>
              <w:spacing w:after="0"/>
            </w:pPr>
            <w:r>
              <w:rPr>
                <w:rFonts w:ascii="Calibri" w:hAnsi="Calibri"/>
                <w:color w:val="1F2937"/>
                <w:sz w:val="16"/>
              </w:rPr>
              <w:t>Co-leader in B; second in A; conditional RMSE and Linf leader in E; about 1% behind v globally</w:t>
            </w:r>
          </w:p>
        </w:tc>
        <w:tc>
          <w:tcPr>
            <w:tcW w:type="dxa" w:w="3720"/>
            <w:vAlign w:val="top"/>
            <w:tcMar>
              <w:top w:w="72" w:type="dxa"/>
              <w:start w:w="100" w:type="dxa"/>
              <w:bottom w:w="72" w:type="dxa"/>
              <w:end w:w="100" w:type="dxa"/>
            </w:tcMar>
          </w:tcPr>
          <w:p>
            <w:pPr>
              <w:spacing w:after="0"/>
            </w:pPr>
            <w:r>
              <w:rPr>
                <w:rFonts w:ascii="Calibri" w:hAnsi="Calibri"/>
                <w:color w:val="1F2937"/>
                <w:sz w:val="16"/>
              </w:rPr>
              <w:t>Strong alternative, especially for RMSE/Linf and well-sampled conditions</w:t>
            </w:r>
          </w:p>
        </w:tc>
      </w:tr>
      <w:tr>
        <w:trPr>
          <w:cantSplit/>
        </w:trPr>
        <w:tc>
          <w:tcPr>
            <w:tcW w:type="dxa" w:w="600"/>
            <w:shd w:fill="F5F9FC"/>
            <w:vAlign w:val="top"/>
            <w:tcMar>
              <w:top w:w="72" w:type="dxa"/>
              <w:start w:w="100" w:type="dxa"/>
              <w:bottom w:w="72" w:type="dxa"/>
              <w:end w:w="100" w:type="dxa"/>
            </w:tcMar>
          </w:tcPr>
          <w:p>
            <w:pPr>
              <w:spacing w:after="0"/>
            </w:pPr>
            <w:r>
              <w:rPr>
                <w:rFonts w:ascii="Calibri" w:hAnsi="Calibri"/>
                <w:b/>
                <w:color w:val="1F2937"/>
                <w:sz w:val="16"/>
              </w:rPr>
              <w:t>4</w:t>
            </w:r>
          </w:p>
        </w:tc>
        <w:tc>
          <w:tcPr>
            <w:tcW w:type="dxa" w:w="900"/>
            <w:shd w:fill="F5F9FC"/>
            <w:vAlign w:val="top"/>
            <w:tcMar>
              <w:top w:w="72" w:type="dxa"/>
              <w:start w:w="100" w:type="dxa"/>
              <w:bottom w:w="72" w:type="dxa"/>
              <w:end w:w="100" w:type="dxa"/>
            </w:tcMar>
          </w:tcPr>
          <w:p>
            <w:pPr>
              <w:spacing w:after="0"/>
            </w:pPr>
            <w:r>
              <w:rPr>
                <w:rFonts w:ascii="Calibri" w:hAnsi="Calibri"/>
                <w:color w:val="1F2937"/>
                <w:sz w:val="16"/>
              </w:rPr>
              <w:t>i</w:t>
            </w:r>
          </w:p>
        </w:tc>
        <w:tc>
          <w:tcPr>
            <w:tcW w:type="dxa" w:w="4140"/>
            <w:shd w:fill="F5F9FC"/>
            <w:vAlign w:val="top"/>
            <w:tcMar>
              <w:top w:w="72" w:type="dxa"/>
              <w:start w:w="100" w:type="dxa"/>
              <w:bottom w:w="72" w:type="dxa"/>
              <w:end w:w="100" w:type="dxa"/>
            </w:tcMar>
          </w:tcPr>
          <w:p>
            <w:pPr>
              <w:spacing w:after="0"/>
            </w:pPr>
            <w:r>
              <w:rPr>
                <w:rFonts w:ascii="Calibri" w:hAnsi="Calibri"/>
                <w:color w:val="1F2937"/>
                <w:sz w:val="16"/>
              </w:rPr>
              <w:t>Intermediate in A, C-D, and E; outside the leading class in B</w:t>
            </w:r>
          </w:p>
        </w:tc>
        <w:tc>
          <w:tcPr>
            <w:tcW w:type="dxa" w:w="3720"/>
            <w:shd w:fill="F5F9FC"/>
            <w:vAlign w:val="top"/>
            <w:tcMar>
              <w:top w:w="72" w:type="dxa"/>
              <w:start w:w="100" w:type="dxa"/>
              <w:bottom w:w="72" w:type="dxa"/>
              <w:end w:w="100" w:type="dxa"/>
            </w:tcMar>
          </w:tcPr>
          <w:p>
            <w:pPr>
              <w:spacing w:after="0"/>
            </w:pPr>
            <w:r>
              <w:rPr>
                <w:rFonts w:ascii="Calibri" w:hAnsi="Calibri"/>
                <w:color w:val="1F2937"/>
                <w:sz w:val="16"/>
              </w:rPr>
              <w:t>No demonstrated general advantage over iii-v; can exceed ii for L1</w:t>
            </w:r>
          </w:p>
        </w:tc>
      </w:tr>
      <w:tr>
        <w:trPr>
          <w:cantSplit/>
        </w:trPr>
        <w:tc>
          <w:tcPr>
            <w:tcW w:type="dxa" w:w="600"/>
            <w:vAlign w:val="top"/>
            <w:tcMar>
              <w:top w:w="72" w:type="dxa"/>
              <w:start w:w="100" w:type="dxa"/>
              <w:bottom w:w="72" w:type="dxa"/>
              <w:end w:w="100" w:type="dxa"/>
            </w:tcMar>
          </w:tcPr>
          <w:p>
            <w:pPr>
              <w:spacing w:after="0"/>
            </w:pPr>
            <w:r>
              <w:rPr>
                <w:rFonts w:ascii="Calibri" w:hAnsi="Calibri"/>
                <w:b/>
                <w:color w:val="1F2937"/>
                <w:sz w:val="16"/>
              </w:rPr>
              <w:t>5</w:t>
            </w:r>
          </w:p>
        </w:tc>
        <w:tc>
          <w:tcPr>
            <w:tcW w:type="dxa" w:w="900"/>
            <w:vAlign w:val="top"/>
            <w:tcMar>
              <w:top w:w="72" w:type="dxa"/>
              <w:start w:w="100" w:type="dxa"/>
              <w:bottom w:w="72" w:type="dxa"/>
              <w:end w:w="100" w:type="dxa"/>
            </w:tcMar>
          </w:tcPr>
          <w:p>
            <w:pPr>
              <w:spacing w:after="0"/>
            </w:pPr>
            <w:r>
              <w:rPr>
                <w:rFonts w:ascii="Calibri" w:hAnsi="Calibri"/>
                <w:color w:val="1F2937"/>
                <w:sz w:val="16"/>
              </w:rPr>
              <w:t>ii</w:t>
            </w:r>
          </w:p>
        </w:tc>
        <w:tc>
          <w:tcPr>
            <w:tcW w:type="dxa" w:w="4140"/>
            <w:vAlign w:val="top"/>
            <w:tcMar>
              <w:top w:w="72" w:type="dxa"/>
              <w:start w:w="100" w:type="dxa"/>
              <w:bottom w:w="72" w:type="dxa"/>
              <w:end w:w="100" w:type="dxa"/>
            </w:tcMar>
          </w:tcPr>
          <w:p>
            <w:pPr>
              <w:spacing w:after="0"/>
            </w:pPr>
            <w:r>
              <w:rPr>
                <w:rFonts w:ascii="Calibri" w:hAnsi="Calibri"/>
                <w:color w:val="1F2937"/>
                <w:sz w:val="16"/>
              </w:rPr>
              <w:t>Worst in A, C-D, and E and roughly 20% above v globally</w:t>
            </w:r>
          </w:p>
        </w:tc>
        <w:tc>
          <w:tcPr>
            <w:tcW w:type="dxa" w:w="3720"/>
            <w:vAlign w:val="top"/>
            <w:tcMar>
              <w:top w:w="72" w:type="dxa"/>
              <w:start w:w="100" w:type="dxa"/>
              <w:bottom w:w="72" w:type="dxa"/>
              <w:end w:w="100" w:type="dxa"/>
            </w:tcMar>
          </w:tcPr>
          <w:p>
            <w:pPr>
              <w:spacing w:after="0"/>
            </w:pPr>
            <w:r>
              <w:rPr>
                <w:rFonts w:ascii="Calibri" w:hAnsi="Calibri"/>
                <w:color w:val="1F2937"/>
                <w:sz w:val="16"/>
              </w:rPr>
              <w:t>Not recommended as a general estimator; conditional RMSE/Linf advantage over i does not offset broad inferiority</w:t>
            </w:r>
          </w:p>
        </w:tc>
      </w:tr>
    </w:tbl>
    <w:p>
      <w:pPr>
        <w:spacing w:after="0"/>
      </w:pPr>
    </w:p>
    <w:p>
      <w:pPr>
        <w:keepLines w:val="0"/>
      </w:pPr>
      <w:r>
        <w:t>Method v receives the top ordinal rank because it combines the lowest global multiplicative error with strong performance under the high-noise reference condition. Method iii receives the second rank because it is essentially equivalent to v in global effect size and is favored by the mixed model and L1 GAM contrast. Method iv receives the third rank because its strengths are more metric- and condition-specific, although its approximately 1% global disadvantage is still small. The practical distinction is therefore tiered: v and iii are the primary general-use choices, iv is a close third, and i and ii are clearly separated from the leading class.</w:t>
      </w:r>
    </w:p>
    <w:p>
      <w:pPr>
        <w:pStyle w:val="Heading2"/>
      </w:pPr>
      <w:r>
        <w:t>2.3 Metric-specific method comparison</w:t>
      </w:r>
    </w:p>
    <w:tbl>
      <w:tblPr>
        <w:tblStyle w:val="TableGrid"/>
        <w:tblW w:type="dxa" w:w="9360"/>
        <w:jc w:val="left"/>
        <w:tblLayout w:type="fixed"/>
        <w:tblLook w:firstColumn="1" w:firstRow="1" w:lastColumn="0" w:lastRow="0" w:noHBand="0" w:noVBand="1" w:val="04A0"/>
        <w:tblInd w:w="120" w:type="dxa"/>
      </w:tblPr>
      <w:tblGrid>
        <w:gridCol w:w="900"/>
        <w:gridCol w:w="2600"/>
        <w:gridCol w:w="3240"/>
        <w:gridCol w:w="2620"/>
      </w:tblGrid>
      <w:tr>
        <w:trPr>
          <w:tblHeader w:val="true"/>
          <w:cantSplit/>
        </w:trPr>
        <w:tc>
          <w:tcPr>
            <w:tcW w:type="dxa" w:w="900"/>
            <w:shd w:fill="2E74B5"/>
            <w:vAlign w:val="center"/>
            <w:tcMar>
              <w:top w:w="72" w:type="dxa"/>
              <w:start w:w="100" w:type="dxa"/>
              <w:bottom w:w="72" w:type="dxa"/>
              <w:end w:w="100" w:type="dxa"/>
            </w:tcMar>
          </w:tcPr>
          <w:p>
            <w:pPr>
              <w:keepNext/>
              <w:spacing w:after="0"/>
            </w:pPr>
            <w:r>
              <w:rPr>
                <w:rFonts w:ascii="Calibri" w:hAnsi="Calibri"/>
                <w:b/>
                <w:color w:val="FFFFFF"/>
                <w:sz w:val="17"/>
              </w:rPr>
              <w:t>Metric</w:t>
            </w:r>
          </w:p>
        </w:tc>
        <w:tc>
          <w:tcPr>
            <w:tcW w:type="dxa" w:w="2600"/>
            <w:shd w:fill="2E74B5"/>
            <w:vAlign w:val="center"/>
            <w:tcMar>
              <w:top w:w="72" w:type="dxa"/>
              <w:start w:w="100" w:type="dxa"/>
              <w:bottom w:w="72" w:type="dxa"/>
              <w:end w:w="100" w:type="dxa"/>
            </w:tcMar>
          </w:tcPr>
          <w:p>
            <w:pPr>
              <w:keepNext/>
              <w:spacing w:after="0"/>
            </w:pPr>
            <w:r>
              <w:rPr>
                <w:rFonts w:ascii="Calibri" w:hAnsi="Calibri"/>
                <w:b/>
                <w:color w:val="FFFFFF"/>
                <w:sz w:val="17"/>
              </w:rPr>
              <w:t>Integrated leading class</w:t>
            </w:r>
          </w:p>
        </w:tc>
        <w:tc>
          <w:tcPr>
            <w:tcW w:type="dxa" w:w="3240"/>
            <w:shd w:fill="2E74B5"/>
            <w:vAlign w:val="center"/>
            <w:tcMar>
              <w:top w:w="72" w:type="dxa"/>
              <w:start w:w="100" w:type="dxa"/>
              <w:bottom w:w="72" w:type="dxa"/>
              <w:end w:w="100" w:type="dxa"/>
            </w:tcMar>
          </w:tcPr>
          <w:p>
            <w:pPr>
              <w:keepNext/>
              <w:spacing w:after="0"/>
            </w:pPr>
            <w:r>
              <w:rPr>
                <w:rFonts w:ascii="Calibri" w:hAnsi="Calibri"/>
                <w:b/>
                <w:color w:val="FFFFFF"/>
                <w:sz w:val="17"/>
              </w:rPr>
              <w:t>Conditional evidence</w:t>
            </w:r>
          </w:p>
        </w:tc>
        <w:tc>
          <w:tcPr>
            <w:tcW w:type="dxa" w:w="2620"/>
            <w:shd w:fill="2E74B5"/>
            <w:vAlign w:val="center"/>
            <w:tcMar>
              <w:top w:w="72" w:type="dxa"/>
              <w:start w:w="100" w:type="dxa"/>
              <w:bottom w:w="72" w:type="dxa"/>
              <w:end w:w="100" w:type="dxa"/>
            </w:tcMar>
          </w:tcPr>
          <w:p>
            <w:pPr>
              <w:keepNext/>
              <w:spacing w:after="0"/>
            </w:pPr>
            <w:r>
              <w:rPr>
                <w:rFonts w:ascii="Calibri" w:hAnsi="Calibri"/>
                <w:b/>
                <w:color w:val="FFFFFF"/>
                <w:sz w:val="17"/>
              </w:rPr>
              <w:t>Inferior pattern</w:t>
            </w:r>
          </w:p>
        </w:tc>
      </w:tr>
      <w:tr>
        <w:trPr>
          <w:cantSplit/>
        </w:trPr>
        <w:tc>
          <w:tcPr>
            <w:tcW w:type="dxa" w:w="900"/>
            <w:vAlign w:val="top"/>
            <w:tcMar>
              <w:top w:w="72" w:type="dxa"/>
              <w:start w:w="100" w:type="dxa"/>
              <w:bottom w:w="72" w:type="dxa"/>
              <w:end w:w="100" w:type="dxa"/>
            </w:tcMar>
          </w:tcPr>
          <w:p>
            <w:pPr>
              <w:spacing w:after="0"/>
            </w:pPr>
            <w:r>
              <w:rPr>
                <w:rFonts w:ascii="Calibri" w:hAnsi="Calibri"/>
                <w:b/>
                <w:color w:val="1F2937"/>
                <w:sz w:val="17"/>
              </w:rPr>
              <w:t>RMSE</w:t>
            </w:r>
          </w:p>
        </w:tc>
        <w:tc>
          <w:tcPr>
            <w:tcW w:type="dxa" w:w="2600"/>
            <w:vAlign w:val="top"/>
            <w:tcMar>
              <w:top w:w="72" w:type="dxa"/>
              <w:start w:w="100" w:type="dxa"/>
              <w:bottom w:w="72" w:type="dxa"/>
              <w:end w:w="100" w:type="dxa"/>
            </w:tcMar>
          </w:tcPr>
          <w:p>
            <w:pPr>
              <w:spacing w:after="0"/>
            </w:pPr>
            <w:r>
              <w:rPr>
                <w:rFonts w:ascii="Calibri" w:hAnsi="Calibri"/>
                <w:color w:val="1F2937"/>
                <w:sz w:val="17"/>
              </w:rPr>
              <w:t>v, iii, and iv; provisional order v &gt; iii &gt; iv globally</w:t>
            </w:r>
          </w:p>
        </w:tc>
        <w:tc>
          <w:tcPr>
            <w:tcW w:type="dxa" w:w="3240"/>
            <w:vAlign w:val="top"/>
            <w:tcMar>
              <w:top w:w="72" w:type="dxa"/>
              <w:start w:w="100" w:type="dxa"/>
              <w:bottom w:w="72" w:type="dxa"/>
              <w:end w:w="100" w:type="dxa"/>
            </w:tcMar>
          </w:tcPr>
          <w:p>
            <w:pPr>
              <w:spacing w:after="0"/>
            </w:pPr>
            <w:r>
              <w:rPr>
                <w:rFonts w:ascii="Calibri" w:hAnsi="Calibri"/>
                <w:color w:val="1F2937"/>
                <w:sz w:val="17"/>
              </w:rPr>
              <w:t>A favors v then iv; B ties iii and iv ahead of v; E favors iv</w:t>
            </w:r>
          </w:p>
        </w:tc>
        <w:tc>
          <w:tcPr>
            <w:tcW w:type="dxa" w:w="2620"/>
            <w:vAlign w:val="top"/>
            <w:tcMar>
              <w:top w:w="72" w:type="dxa"/>
              <w:start w:w="100" w:type="dxa"/>
              <w:bottom w:w="72" w:type="dxa"/>
              <w:end w:w="100" w:type="dxa"/>
            </w:tcMar>
          </w:tcPr>
          <w:p>
            <w:pPr>
              <w:spacing w:after="0"/>
            </w:pPr>
            <w:r>
              <w:rPr>
                <w:rFonts w:ascii="Calibri" w:hAnsi="Calibri"/>
                <w:color w:val="1F2937"/>
                <w:sz w:val="17"/>
              </w:rPr>
              <w:t>i and ii trail; B alone places ii above i at its reference condition</w:t>
            </w:r>
          </w:p>
        </w:tc>
      </w:tr>
      <w:tr>
        <w:trPr>
          <w:cantSplit/>
        </w:trPr>
        <w:tc>
          <w:tcPr>
            <w:tcW w:type="dxa" w:w="900"/>
            <w:shd w:fill="F5F9FC"/>
            <w:vAlign w:val="top"/>
            <w:tcMar>
              <w:top w:w="72" w:type="dxa"/>
              <w:start w:w="100" w:type="dxa"/>
              <w:bottom w:w="72" w:type="dxa"/>
              <w:end w:w="100" w:type="dxa"/>
            </w:tcMar>
          </w:tcPr>
          <w:p>
            <w:pPr>
              <w:spacing w:after="0"/>
            </w:pPr>
            <w:r>
              <w:rPr>
                <w:rFonts w:ascii="Calibri" w:hAnsi="Calibri"/>
                <w:b/>
                <w:color w:val="1F2937"/>
                <w:sz w:val="17"/>
              </w:rPr>
              <w:t>L1</w:t>
            </w:r>
          </w:p>
        </w:tc>
        <w:tc>
          <w:tcPr>
            <w:tcW w:type="dxa" w:w="2600"/>
            <w:shd w:fill="F5F9FC"/>
            <w:vAlign w:val="top"/>
            <w:tcMar>
              <w:top w:w="72" w:type="dxa"/>
              <w:start w:w="100" w:type="dxa"/>
              <w:bottom w:w="72" w:type="dxa"/>
              <w:end w:w="100" w:type="dxa"/>
            </w:tcMar>
          </w:tcPr>
          <w:p>
            <w:pPr>
              <w:spacing w:after="0"/>
            </w:pPr>
            <w:r>
              <w:rPr>
                <w:rFonts w:ascii="Calibri" w:hAnsi="Calibri"/>
                <w:color w:val="1F2937"/>
                <w:sz w:val="17"/>
              </w:rPr>
              <w:t>v and iii, with iv close</w:t>
            </w:r>
          </w:p>
        </w:tc>
        <w:tc>
          <w:tcPr>
            <w:tcW w:type="dxa" w:w="3240"/>
            <w:shd w:fill="F5F9FC"/>
            <w:vAlign w:val="top"/>
            <w:tcMar>
              <w:top w:w="72" w:type="dxa"/>
              <w:start w:w="100" w:type="dxa"/>
              <w:bottom w:w="72" w:type="dxa"/>
              <w:end w:w="100" w:type="dxa"/>
            </w:tcMar>
          </w:tcPr>
          <w:p>
            <w:pPr>
              <w:spacing w:after="0"/>
            </w:pPr>
            <w:r>
              <w:rPr>
                <w:rFonts w:ascii="Calibri" w:hAnsi="Calibri"/>
                <w:color w:val="1F2937"/>
                <w:sz w:val="17"/>
              </w:rPr>
              <w:t>A favors v; B favors iii with iv tied to v; E favors iii</w:t>
            </w:r>
          </w:p>
        </w:tc>
        <w:tc>
          <w:tcPr>
            <w:tcW w:type="dxa" w:w="2620"/>
            <w:shd w:fill="F5F9FC"/>
            <w:vAlign w:val="top"/>
            <w:tcMar>
              <w:top w:w="72" w:type="dxa"/>
              <w:start w:w="100" w:type="dxa"/>
              <w:bottom w:w="72" w:type="dxa"/>
              <w:end w:w="100" w:type="dxa"/>
            </w:tcMar>
          </w:tcPr>
          <w:p>
            <w:pPr>
              <w:spacing w:after="0"/>
            </w:pPr>
            <w:r>
              <w:rPr>
                <w:rFonts w:ascii="Calibri" w:hAnsi="Calibri"/>
                <w:color w:val="1F2937"/>
                <w:sz w:val="17"/>
              </w:rPr>
              <w:t>i is intermediate and consistently better than ii in A, B, and C-D</w:t>
            </w:r>
          </w:p>
        </w:tc>
      </w:tr>
      <w:tr>
        <w:trPr>
          <w:cantSplit/>
        </w:trPr>
        <w:tc>
          <w:tcPr>
            <w:tcW w:type="dxa" w:w="900"/>
            <w:vAlign w:val="top"/>
            <w:tcMar>
              <w:top w:w="72" w:type="dxa"/>
              <w:start w:w="100" w:type="dxa"/>
              <w:bottom w:w="72" w:type="dxa"/>
              <w:end w:w="100" w:type="dxa"/>
            </w:tcMar>
          </w:tcPr>
          <w:p>
            <w:pPr>
              <w:spacing w:after="0"/>
            </w:pPr>
            <w:r>
              <w:rPr>
                <w:rFonts w:ascii="Calibri" w:hAnsi="Calibri"/>
                <w:b/>
                <w:color w:val="1F2937"/>
                <w:sz w:val="17"/>
              </w:rPr>
              <w:t>Linf</w:t>
            </w:r>
          </w:p>
        </w:tc>
        <w:tc>
          <w:tcPr>
            <w:tcW w:type="dxa" w:w="2600"/>
            <w:vAlign w:val="top"/>
            <w:tcMar>
              <w:top w:w="72" w:type="dxa"/>
              <w:start w:w="100" w:type="dxa"/>
              <w:bottom w:w="72" w:type="dxa"/>
              <w:end w:w="100" w:type="dxa"/>
            </w:tcMar>
          </w:tcPr>
          <w:p>
            <w:pPr>
              <w:spacing w:after="0"/>
            </w:pPr>
            <w:r>
              <w:rPr>
                <w:rFonts w:ascii="Calibri" w:hAnsi="Calibri"/>
                <w:color w:val="1F2937"/>
                <w:sz w:val="17"/>
              </w:rPr>
              <w:t>v, iii, and iv; no stable winner within the cluster</w:t>
            </w:r>
          </w:p>
        </w:tc>
        <w:tc>
          <w:tcPr>
            <w:tcW w:type="dxa" w:w="3240"/>
            <w:vAlign w:val="top"/>
            <w:tcMar>
              <w:top w:w="72" w:type="dxa"/>
              <w:start w:w="100" w:type="dxa"/>
              <w:bottom w:w="72" w:type="dxa"/>
              <w:end w:w="100" w:type="dxa"/>
            </w:tcMar>
          </w:tcPr>
          <w:p>
            <w:pPr>
              <w:spacing w:after="0"/>
            </w:pPr>
            <w:r>
              <w:rPr>
                <w:rFonts w:ascii="Calibri" w:hAnsi="Calibri"/>
                <w:color w:val="1F2937"/>
                <w:sz w:val="17"/>
              </w:rPr>
              <w:t>A favors v; B ties iii and iv; E favors iv</w:t>
            </w:r>
          </w:p>
        </w:tc>
        <w:tc>
          <w:tcPr>
            <w:tcW w:type="dxa" w:w="2620"/>
            <w:vAlign w:val="top"/>
            <w:tcMar>
              <w:top w:w="72" w:type="dxa"/>
              <w:start w:w="100" w:type="dxa"/>
              <w:bottom w:w="72" w:type="dxa"/>
              <w:end w:w="100" w:type="dxa"/>
            </w:tcMar>
          </w:tcPr>
          <w:p>
            <w:pPr>
              <w:spacing w:after="0"/>
            </w:pPr>
            <w:r>
              <w:rPr>
                <w:rFonts w:ascii="Calibri" w:hAnsi="Calibri"/>
                <w:color w:val="1F2937"/>
                <w:sz w:val="17"/>
              </w:rPr>
              <w:t>i and ii trail; B places ii above i, unlike global C-D</w:t>
            </w:r>
          </w:p>
        </w:tc>
      </w:tr>
    </w:tbl>
    <w:p>
      <w:pPr>
        <w:spacing w:after="0"/>
      </w:pPr>
    </w:p>
    <w:p>
      <w:pPr>
        <w:keepLines w:val="0"/>
      </w:pPr>
      <w:r>
        <w:t>For RMSE, the general-use evidence favors v, but the fitted conditional minimum changes from v in Code A to iii/iv in Code B and iv in Code E. For L1, v has the lowest global and Code A error, while iii is the most consistent conditional leader in Codes B and E. For Linf, all three leading methods remain competitive, and no analysis establishes a universally smallest maximum component error across every design cell.</w:t>
      </w:r>
    </w:p>
    <w:p>
      <w:pPr>
        <w:pStyle w:val="Heading1"/>
      </w:pPr>
      <w:r>
        <w:t>3. Experimental factors affecting estimation accuracy</w:t>
      </w:r>
    </w:p>
    <w:p>
      <w:pPr>
        <w:pStyle w:val="Heading2"/>
      </w:pPr>
      <w:r>
        <w:t>3.1 Overall hierarchy of influence</w:t>
      </w:r>
    </w:p>
    <w:tbl>
      <w:tblPr>
        <w:tblStyle w:val="TableGrid"/>
        <w:tblW w:type="dxa" w:w="9360"/>
        <w:jc w:val="left"/>
        <w:tblLayout w:type="fixed"/>
        <w:tblLook w:firstColumn="1" w:firstRow="1" w:lastColumn="0" w:lastRow="0" w:noHBand="0" w:noVBand="1" w:val="04A0"/>
        <w:tblInd w:w="120" w:type="dxa"/>
      </w:tblPr>
      <w:tblGrid>
        <w:gridCol w:w="1050"/>
        <w:gridCol w:w="2350"/>
        <w:gridCol w:w="2670"/>
        <w:gridCol w:w="3290"/>
      </w:tblGrid>
      <w:tr>
        <w:trPr>
          <w:tblHeader w:val="true"/>
          <w:cantSplit/>
        </w:trPr>
        <w:tc>
          <w:tcPr>
            <w:tcW w:type="dxa" w:w="1050"/>
            <w:shd w:fill="2E74B5"/>
            <w:vAlign w:val="center"/>
            <w:tcMar>
              <w:top w:w="72" w:type="dxa"/>
              <w:start w:w="100" w:type="dxa"/>
              <w:bottom w:w="72" w:type="dxa"/>
              <w:end w:w="100" w:type="dxa"/>
            </w:tcMar>
          </w:tcPr>
          <w:p>
            <w:pPr>
              <w:keepNext/>
              <w:spacing w:after="0"/>
            </w:pPr>
            <w:r>
              <w:rPr>
                <w:rFonts w:ascii="Calibri" w:hAnsi="Calibri"/>
                <w:b/>
                <w:color w:val="FFFFFF"/>
                <w:sz w:val="17"/>
              </w:rPr>
              <w:t>Influence tier</w:t>
            </w:r>
          </w:p>
        </w:tc>
        <w:tc>
          <w:tcPr>
            <w:tcW w:type="dxa" w:w="2350"/>
            <w:shd w:fill="2E74B5"/>
            <w:vAlign w:val="center"/>
            <w:tcMar>
              <w:top w:w="72" w:type="dxa"/>
              <w:start w:w="100" w:type="dxa"/>
              <w:bottom w:w="72" w:type="dxa"/>
              <w:end w:w="100" w:type="dxa"/>
            </w:tcMar>
          </w:tcPr>
          <w:p>
            <w:pPr>
              <w:keepNext/>
              <w:spacing w:after="0"/>
            </w:pPr>
            <w:r>
              <w:rPr>
                <w:rFonts w:ascii="Calibri" w:hAnsi="Calibri"/>
                <w:b/>
                <w:color w:val="FFFFFF"/>
                <w:sz w:val="17"/>
              </w:rPr>
              <w:t>Absolute accuracy (Codes A, B, E)</w:t>
            </w:r>
          </w:p>
        </w:tc>
        <w:tc>
          <w:tcPr>
            <w:tcW w:type="dxa" w:w="2670"/>
            <w:shd w:fill="2E74B5"/>
            <w:vAlign w:val="center"/>
            <w:tcMar>
              <w:top w:w="72" w:type="dxa"/>
              <w:start w:w="100" w:type="dxa"/>
              <w:bottom w:w="72" w:type="dxa"/>
              <w:end w:w="100" w:type="dxa"/>
            </w:tcMar>
          </w:tcPr>
          <w:p>
            <w:pPr>
              <w:keepNext/>
              <w:spacing w:after="0"/>
            </w:pPr>
            <w:r>
              <w:rPr>
                <w:rFonts w:ascii="Calibri" w:hAnsi="Calibri"/>
                <w:b/>
                <w:color w:val="FFFFFF"/>
                <w:sz w:val="17"/>
              </w:rPr>
              <w:t>Pairwise method gaps (Code C-D)</w:t>
            </w:r>
          </w:p>
        </w:tc>
        <w:tc>
          <w:tcPr>
            <w:tcW w:type="dxa" w:w="3290"/>
            <w:shd w:fill="2E74B5"/>
            <w:vAlign w:val="center"/>
            <w:tcMar>
              <w:top w:w="72" w:type="dxa"/>
              <w:start w:w="100" w:type="dxa"/>
              <w:bottom w:w="72" w:type="dxa"/>
              <w:end w:w="100" w:type="dxa"/>
            </w:tcMar>
          </w:tcPr>
          <w:p>
            <w:pPr>
              <w:keepNext/>
              <w:spacing w:after="0"/>
            </w:pPr>
            <w:r>
              <w:rPr>
                <w:rFonts w:ascii="Calibri" w:hAnsi="Calibri"/>
                <w:b/>
                <w:color w:val="FFFFFF"/>
                <w:sz w:val="17"/>
              </w:rPr>
              <w:t>Interpretation</w:t>
            </w:r>
          </w:p>
        </w:tc>
      </w:tr>
      <w:tr>
        <w:trPr>
          <w:cantSplit/>
        </w:trPr>
        <w:tc>
          <w:tcPr>
            <w:tcW w:type="dxa" w:w="1050"/>
            <w:vAlign w:val="top"/>
            <w:tcMar>
              <w:top w:w="72" w:type="dxa"/>
              <w:start w:w="100" w:type="dxa"/>
              <w:bottom w:w="72" w:type="dxa"/>
              <w:end w:w="100" w:type="dxa"/>
            </w:tcMar>
          </w:tcPr>
          <w:p>
            <w:pPr>
              <w:spacing w:after="0"/>
            </w:pPr>
            <w:r>
              <w:rPr>
                <w:rFonts w:ascii="Calibri" w:hAnsi="Calibri"/>
                <w:b/>
                <w:color w:val="1F2937"/>
                <w:sz w:val="17"/>
              </w:rPr>
              <w:t>Dominant</w:t>
            </w:r>
          </w:p>
        </w:tc>
        <w:tc>
          <w:tcPr>
            <w:tcW w:type="dxa" w:w="2350"/>
            <w:vAlign w:val="top"/>
            <w:tcMar>
              <w:top w:w="72" w:type="dxa"/>
              <w:start w:w="100" w:type="dxa"/>
              <w:bottom w:w="72" w:type="dxa"/>
              <w:end w:w="100" w:type="dxa"/>
            </w:tcMar>
          </w:tcPr>
          <w:p>
            <w:pPr>
              <w:spacing w:after="0"/>
            </w:pPr>
            <w:r>
              <w:rPr>
                <w:rFonts w:ascii="Calibri" w:hAnsi="Calibri"/>
                <w:color w:val="1F2937"/>
                <w:sz w:val="17"/>
              </w:rPr>
              <w:t>sigma</w:t>
            </w:r>
          </w:p>
        </w:tc>
        <w:tc>
          <w:tcPr>
            <w:tcW w:type="dxa" w:w="2670"/>
            <w:vAlign w:val="top"/>
            <w:tcMar>
              <w:top w:w="72" w:type="dxa"/>
              <w:start w:w="100" w:type="dxa"/>
              <w:bottom w:w="72" w:type="dxa"/>
              <w:end w:w="100" w:type="dxa"/>
            </w:tcMar>
          </w:tcPr>
          <w:p>
            <w:pPr>
              <w:spacing w:after="0"/>
            </w:pPr>
            <w:r>
              <w:rPr>
                <w:rFonts w:ascii="Calibri" w:hAnsi="Calibri"/>
                <w:color w:val="1F2937"/>
                <w:sz w:val="17"/>
              </w:rPr>
              <w:t>sigma</w:t>
            </w:r>
          </w:p>
        </w:tc>
        <w:tc>
          <w:tcPr>
            <w:tcW w:type="dxa" w:w="3290"/>
            <w:vAlign w:val="top"/>
            <w:tcMar>
              <w:top w:w="72" w:type="dxa"/>
              <w:start w:w="100" w:type="dxa"/>
              <w:bottom w:w="72" w:type="dxa"/>
              <w:end w:w="100" w:type="dxa"/>
            </w:tcMar>
          </w:tcPr>
          <w:p>
            <w:pPr>
              <w:spacing w:after="0"/>
            </w:pPr>
            <w:r>
              <w:rPr>
                <w:rFonts w:ascii="Calibri" w:hAnsi="Calibri"/>
                <w:color w:val="1F2937"/>
                <w:sz w:val="17"/>
              </w:rPr>
              <w:t>Noise level governs both error magnitude and separation among methods</w:t>
            </w:r>
          </w:p>
        </w:tc>
      </w:tr>
      <w:tr>
        <w:trPr>
          <w:cantSplit/>
        </w:trPr>
        <w:tc>
          <w:tcPr>
            <w:tcW w:type="dxa" w:w="1050"/>
            <w:shd w:fill="F5F9FC"/>
            <w:vAlign w:val="top"/>
            <w:tcMar>
              <w:top w:w="72" w:type="dxa"/>
              <w:start w:w="100" w:type="dxa"/>
              <w:bottom w:w="72" w:type="dxa"/>
              <w:end w:w="100" w:type="dxa"/>
            </w:tcMar>
          </w:tcPr>
          <w:p>
            <w:pPr>
              <w:spacing w:after="0"/>
            </w:pPr>
            <w:r>
              <w:rPr>
                <w:rFonts w:ascii="Calibri" w:hAnsi="Calibri"/>
                <w:b/>
                <w:color w:val="1F2937"/>
                <w:sz w:val="17"/>
              </w:rPr>
              <w:t>Large</w:t>
            </w:r>
          </w:p>
        </w:tc>
        <w:tc>
          <w:tcPr>
            <w:tcW w:type="dxa" w:w="2350"/>
            <w:shd w:fill="F5F9FC"/>
            <w:vAlign w:val="top"/>
            <w:tcMar>
              <w:top w:w="72" w:type="dxa"/>
              <w:start w:w="100" w:type="dxa"/>
              <w:bottom w:w="72" w:type="dxa"/>
              <w:end w:w="100" w:type="dxa"/>
            </w:tcMar>
          </w:tcPr>
          <w:p>
            <w:pPr>
              <w:spacing w:after="0"/>
            </w:pPr>
            <w:r>
              <w:rPr>
                <w:rFonts w:ascii="Calibri" w:hAnsi="Calibri"/>
                <w:color w:val="1F2937"/>
                <w:sz w:val="17"/>
              </w:rPr>
              <w:t>G</w:t>
            </w:r>
          </w:p>
        </w:tc>
        <w:tc>
          <w:tcPr>
            <w:tcW w:type="dxa" w:w="2670"/>
            <w:shd w:fill="F5F9FC"/>
            <w:vAlign w:val="top"/>
            <w:tcMar>
              <w:top w:w="72" w:type="dxa"/>
              <w:start w:w="100" w:type="dxa"/>
              <w:bottom w:w="72" w:type="dxa"/>
              <w:end w:w="100" w:type="dxa"/>
            </w:tcMar>
          </w:tcPr>
          <w:p>
            <w:pPr>
              <w:spacing w:after="0"/>
            </w:pPr>
            <w:r>
              <w:rPr>
                <w:rFonts w:ascii="Calibri" w:hAnsi="Calibri"/>
                <w:color w:val="1F2937"/>
                <w:sz w:val="17"/>
              </w:rPr>
              <w:t>design_block and mean_nsamp, then G</w:t>
            </w:r>
          </w:p>
        </w:tc>
        <w:tc>
          <w:tcPr>
            <w:tcW w:type="dxa" w:w="3290"/>
            <w:shd w:fill="F5F9FC"/>
            <w:vAlign w:val="top"/>
            <w:tcMar>
              <w:top w:w="72" w:type="dxa"/>
              <w:start w:w="100" w:type="dxa"/>
              <w:bottom w:w="72" w:type="dxa"/>
              <w:end w:w="100" w:type="dxa"/>
            </w:tcMar>
          </w:tcPr>
          <w:p>
            <w:pPr>
              <w:spacing w:after="0"/>
            </w:pPr>
            <w:r>
              <w:rPr>
                <w:rFonts w:ascii="Calibri" w:hAnsi="Calibri"/>
                <w:color w:val="1F2937"/>
                <w:sz w:val="17"/>
              </w:rPr>
              <w:t>G strongly changes absolute difficulty; block and sample size strongly change relative gaps</w:t>
            </w:r>
          </w:p>
        </w:tc>
      </w:tr>
      <w:tr>
        <w:trPr>
          <w:cantSplit/>
        </w:trPr>
        <w:tc>
          <w:tcPr>
            <w:tcW w:type="dxa" w:w="1050"/>
            <w:vAlign w:val="top"/>
            <w:tcMar>
              <w:top w:w="72" w:type="dxa"/>
              <w:start w:w="100" w:type="dxa"/>
              <w:bottom w:w="72" w:type="dxa"/>
              <w:end w:w="100" w:type="dxa"/>
            </w:tcMar>
          </w:tcPr>
          <w:p>
            <w:pPr>
              <w:spacing w:after="0"/>
            </w:pPr>
            <w:r>
              <w:rPr>
                <w:rFonts w:ascii="Calibri" w:hAnsi="Calibri"/>
                <w:b/>
                <w:color w:val="1F2937"/>
                <w:sz w:val="17"/>
              </w:rPr>
              <w:t>Secondary</w:t>
            </w:r>
          </w:p>
        </w:tc>
        <w:tc>
          <w:tcPr>
            <w:tcW w:type="dxa" w:w="2350"/>
            <w:vAlign w:val="top"/>
            <w:tcMar>
              <w:top w:w="72" w:type="dxa"/>
              <w:start w:w="100" w:type="dxa"/>
              <w:bottom w:w="72" w:type="dxa"/>
              <w:end w:w="100" w:type="dxa"/>
            </w:tcMar>
          </w:tcPr>
          <w:p>
            <w:pPr>
              <w:spacing w:after="0"/>
            </w:pPr>
            <w:r>
              <w:rPr>
                <w:rFonts w:ascii="Calibri" w:hAnsi="Calibri"/>
                <w:color w:val="1F2937"/>
                <w:sz w:val="17"/>
              </w:rPr>
              <w:t>mean_nsamp, design_block, theta_true</w:t>
            </w:r>
          </w:p>
        </w:tc>
        <w:tc>
          <w:tcPr>
            <w:tcW w:type="dxa" w:w="2670"/>
            <w:vAlign w:val="top"/>
            <w:tcMar>
              <w:top w:w="72" w:type="dxa"/>
              <w:start w:w="100" w:type="dxa"/>
              <w:bottom w:w="72" w:type="dxa"/>
              <w:end w:w="100" w:type="dxa"/>
            </w:tcMar>
          </w:tcPr>
          <w:p>
            <w:pPr>
              <w:spacing w:after="0"/>
            </w:pPr>
            <w:r>
              <w:rPr>
                <w:rFonts w:ascii="Calibri" w:hAnsi="Calibri"/>
                <w:color w:val="1F2937"/>
                <w:sz w:val="17"/>
              </w:rPr>
              <w:t>theta_true</w:t>
            </w:r>
          </w:p>
        </w:tc>
        <w:tc>
          <w:tcPr>
            <w:tcW w:type="dxa" w:w="3290"/>
            <w:vAlign w:val="top"/>
            <w:tcMar>
              <w:top w:w="72" w:type="dxa"/>
              <w:start w:w="100" w:type="dxa"/>
              <w:bottom w:w="72" w:type="dxa"/>
              <w:end w:w="100" w:type="dxa"/>
            </w:tcMar>
          </w:tcPr>
          <w:p>
            <w:pPr>
              <w:spacing w:after="0"/>
            </w:pPr>
            <w:r>
              <w:rPr>
                <w:rFonts w:ascii="Calibri" w:hAnsi="Calibri"/>
                <w:color w:val="1F2937"/>
                <w:sz w:val="17"/>
              </w:rPr>
              <w:t>Reproducible but much smaller than sigma and G</w:t>
            </w:r>
          </w:p>
        </w:tc>
      </w:tr>
      <w:tr>
        <w:trPr>
          <w:cantSplit/>
        </w:trPr>
        <w:tc>
          <w:tcPr>
            <w:tcW w:type="dxa" w:w="1050"/>
            <w:shd w:fill="F5F9FC"/>
            <w:vAlign w:val="top"/>
            <w:tcMar>
              <w:top w:w="72" w:type="dxa"/>
              <w:start w:w="100" w:type="dxa"/>
              <w:bottom w:w="72" w:type="dxa"/>
              <w:end w:w="100" w:type="dxa"/>
            </w:tcMar>
          </w:tcPr>
          <w:p>
            <w:pPr>
              <w:spacing w:after="0"/>
            </w:pPr>
            <w:r>
              <w:rPr>
                <w:rFonts w:ascii="Calibri" w:hAnsi="Calibri"/>
                <w:b/>
                <w:color w:val="1F2937"/>
                <w:sz w:val="17"/>
              </w:rPr>
              <w:t>Minimal</w:t>
            </w:r>
          </w:p>
        </w:tc>
        <w:tc>
          <w:tcPr>
            <w:tcW w:type="dxa" w:w="2350"/>
            <w:shd w:fill="F5F9FC"/>
            <w:vAlign w:val="top"/>
            <w:tcMar>
              <w:top w:w="72" w:type="dxa"/>
              <w:start w:w="100" w:type="dxa"/>
              <w:bottom w:w="72" w:type="dxa"/>
              <w:end w:w="100" w:type="dxa"/>
            </w:tcMar>
          </w:tcPr>
          <w:p>
            <w:pPr>
              <w:spacing w:after="0"/>
            </w:pPr>
            <w:r>
              <w:rPr>
                <w:rFonts w:ascii="Calibri" w:hAnsi="Calibri"/>
                <w:color w:val="1F2937"/>
                <w:sz w:val="17"/>
              </w:rPr>
              <w:t>theta_CV; linear p1 and p2</w:t>
            </w:r>
          </w:p>
        </w:tc>
        <w:tc>
          <w:tcPr>
            <w:tcW w:type="dxa" w:w="2670"/>
            <w:shd w:fill="F5F9FC"/>
            <w:vAlign w:val="top"/>
            <w:tcMar>
              <w:top w:w="72" w:type="dxa"/>
              <w:start w:w="100" w:type="dxa"/>
              <w:bottom w:w="72" w:type="dxa"/>
              <w:end w:w="100" w:type="dxa"/>
            </w:tcMar>
          </w:tcPr>
          <w:p>
            <w:pPr>
              <w:spacing w:after="0"/>
            </w:pPr>
            <w:r>
              <w:rPr>
                <w:rFonts w:ascii="Calibri" w:hAnsi="Calibri"/>
                <w:color w:val="1F2937"/>
                <w:sz w:val="17"/>
              </w:rPr>
              <w:t>theta_CV, p2, p1</w:t>
            </w:r>
          </w:p>
        </w:tc>
        <w:tc>
          <w:tcPr>
            <w:tcW w:type="dxa" w:w="3290"/>
            <w:shd w:fill="F5F9FC"/>
            <w:vAlign w:val="top"/>
            <w:tcMar>
              <w:top w:w="72" w:type="dxa"/>
              <w:start w:w="100" w:type="dxa"/>
              <w:bottom w:w="72" w:type="dxa"/>
              <w:end w:w="100" w:type="dxa"/>
            </w:tcMar>
          </w:tcPr>
          <w:p>
            <w:pPr>
              <w:spacing w:after="0"/>
            </w:pPr>
            <w:r>
              <w:rPr>
                <w:rFonts w:ascii="Calibri" w:hAnsi="Calibri"/>
                <w:color w:val="1F2937"/>
                <w:sz w:val="17"/>
              </w:rPr>
              <w:t>Tiny or absent linear main effects; nonlinear p1-p2 structure remains important</w:t>
            </w:r>
          </w:p>
        </w:tc>
      </w:tr>
    </w:tbl>
    <w:p>
      <w:pPr>
        <w:spacing w:after="0"/>
      </w:pPr>
    </w:p>
    <w:p>
      <w:pPr>
        <w:keepLines w:val="0"/>
      </w:pPr>
      <w:r>
        <w:t>The distinction between absolute accuracy and method separation resolves the small ordering differences among reports. G has the second-largest effect on the overall error level, whereas design block and mean sample size often explain more of the gap between two already similar methods. Sigma dominates both estimands and is therefore the central robustness factor.</w:t>
      </w:r>
    </w:p>
    <w:p>
      <w:pPr>
        <w:pStyle w:val="Heading2"/>
      </w:pPr>
      <w:r>
        <w:t>3.2 RMSE</w:t>
      </w:r>
    </w:p>
    <w:tbl>
      <w:tblPr>
        <w:tblStyle w:val="TableGrid"/>
        <w:tblW w:type="dxa" w:w="9360"/>
        <w:jc w:val="left"/>
        <w:tblLayout w:type="fixed"/>
        <w:tblLook w:firstColumn="1" w:firstRow="1" w:lastColumn="0" w:lastRow="0" w:noHBand="0" w:noVBand="1" w:val="04A0"/>
        <w:tblInd w:w="120" w:type="dxa"/>
      </w:tblPr>
      <w:tblGrid>
        <w:gridCol w:w="1400"/>
        <w:gridCol w:w="1450"/>
        <w:gridCol w:w="1580"/>
        <w:gridCol w:w="4930"/>
      </w:tblGrid>
      <w:tr>
        <w:trPr>
          <w:tblHeader w:val="true"/>
          <w:cantSplit/>
        </w:trPr>
        <w:tc>
          <w:tcPr>
            <w:tcW w:type="dxa" w:w="1400"/>
            <w:shd w:fill="2E74B5"/>
            <w:vAlign w:val="center"/>
            <w:tcMar>
              <w:top w:w="72" w:type="dxa"/>
              <w:start w:w="100" w:type="dxa"/>
              <w:bottom w:w="72" w:type="dxa"/>
              <w:end w:w="100" w:type="dxa"/>
            </w:tcMar>
          </w:tcPr>
          <w:p>
            <w:pPr>
              <w:keepNext/>
              <w:spacing w:after="0"/>
            </w:pPr>
            <w:r>
              <w:rPr>
                <w:rFonts w:ascii="Calibri" w:hAnsi="Calibri"/>
                <w:b/>
                <w:color w:val="FFFFFF"/>
                <w:sz w:val="16"/>
              </w:rPr>
              <w:t>Factor</w:t>
            </w:r>
          </w:p>
        </w:tc>
        <w:tc>
          <w:tcPr>
            <w:tcW w:type="dxa" w:w="1450"/>
            <w:shd w:fill="2E74B5"/>
            <w:vAlign w:val="center"/>
            <w:tcMar>
              <w:top w:w="72" w:type="dxa"/>
              <w:start w:w="100" w:type="dxa"/>
              <w:bottom w:w="72" w:type="dxa"/>
              <w:end w:w="100" w:type="dxa"/>
            </w:tcMar>
          </w:tcPr>
          <w:p>
            <w:pPr>
              <w:keepNext/>
              <w:spacing w:after="0"/>
            </w:pPr>
            <w:r>
              <w:rPr>
                <w:rFonts w:ascii="Calibri" w:hAnsi="Calibri"/>
                <w:b/>
                <w:color w:val="FFFFFF"/>
                <w:sz w:val="16"/>
              </w:rPr>
              <w:t>Code A eta_p^2</w:t>
            </w:r>
          </w:p>
        </w:tc>
        <w:tc>
          <w:tcPr>
            <w:tcW w:type="dxa" w:w="1580"/>
            <w:shd w:fill="2E74B5"/>
            <w:vAlign w:val="center"/>
            <w:tcMar>
              <w:top w:w="72" w:type="dxa"/>
              <w:start w:w="100" w:type="dxa"/>
              <w:bottom w:w="72" w:type="dxa"/>
              <w:end w:w="100" w:type="dxa"/>
            </w:tcMar>
          </w:tcPr>
          <w:p>
            <w:pPr>
              <w:keepNext/>
              <w:spacing w:after="0"/>
            </w:pPr>
            <w:r>
              <w:rPr>
                <w:rFonts w:ascii="Calibri" w:hAnsi="Calibri"/>
                <w:b/>
                <w:color w:val="FFFFFF"/>
                <w:sz w:val="16"/>
              </w:rPr>
              <w:t>Code C-D median F</w:t>
            </w:r>
          </w:p>
        </w:tc>
        <w:tc>
          <w:tcPr>
            <w:tcW w:type="dxa" w:w="4930"/>
            <w:shd w:fill="2E74B5"/>
            <w:vAlign w:val="center"/>
            <w:tcMar>
              <w:top w:w="72" w:type="dxa"/>
              <w:start w:w="100" w:type="dxa"/>
              <w:bottom w:w="72" w:type="dxa"/>
              <w:end w:w="100" w:type="dxa"/>
            </w:tcMar>
          </w:tcPr>
          <w:p>
            <w:pPr>
              <w:keepNext/>
              <w:spacing w:after="0"/>
            </w:pPr>
            <w:r>
              <w:rPr>
                <w:rFonts w:ascii="Calibri" w:hAnsi="Calibri"/>
                <w:b/>
                <w:color w:val="FFFFFF"/>
                <w:sz w:val="16"/>
              </w:rPr>
              <w:t>RMSE interpretation</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sigma</w:t>
            </w:r>
          </w:p>
        </w:tc>
        <w:tc>
          <w:tcPr>
            <w:tcW w:type="dxa" w:w="1450"/>
            <w:vAlign w:val="top"/>
            <w:tcMar>
              <w:top w:w="72" w:type="dxa"/>
              <w:start w:w="100" w:type="dxa"/>
              <w:bottom w:w="72" w:type="dxa"/>
              <w:end w:w="100" w:type="dxa"/>
            </w:tcMar>
          </w:tcPr>
          <w:p>
            <w:pPr>
              <w:spacing w:after="0"/>
            </w:pPr>
            <w:r>
              <w:rPr>
                <w:rFonts w:ascii="Calibri" w:hAnsi="Calibri"/>
                <w:color w:val="1F2937"/>
                <w:sz w:val="16"/>
              </w:rPr>
              <w:t>0.1515</w:t>
            </w:r>
          </w:p>
        </w:tc>
        <w:tc>
          <w:tcPr>
            <w:tcW w:type="dxa" w:w="1580"/>
            <w:vAlign w:val="top"/>
            <w:tcMar>
              <w:top w:w="72" w:type="dxa"/>
              <w:start w:w="100" w:type="dxa"/>
              <w:bottom w:w="72" w:type="dxa"/>
              <w:end w:w="100" w:type="dxa"/>
            </w:tcMar>
          </w:tcPr>
          <w:p>
            <w:pPr>
              <w:spacing w:after="0"/>
            </w:pPr>
            <w:r>
              <w:rPr>
                <w:rFonts w:ascii="Calibri" w:hAnsi="Calibri"/>
                <w:color w:val="1F2937"/>
                <w:sz w:val="16"/>
              </w:rPr>
              <w:t>661.9</w:t>
            </w:r>
          </w:p>
        </w:tc>
        <w:tc>
          <w:tcPr>
            <w:tcW w:type="dxa" w:w="4930"/>
            <w:vAlign w:val="top"/>
            <w:tcMar>
              <w:top w:w="72" w:type="dxa"/>
              <w:start w:w="100" w:type="dxa"/>
              <w:bottom w:w="72" w:type="dxa"/>
              <w:end w:w="100" w:type="dxa"/>
            </w:tcMar>
          </w:tcPr>
          <w:p>
            <w:pPr>
              <w:spacing w:after="0"/>
            </w:pPr>
            <w:r>
              <w:rPr>
                <w:rFonts w:ascii="Calibri" w:hAnsi="Calibri"/>
                <w:color w:val="1F2937"/>
                <w:sz w:val="16"/>
              </w:rPr>
              <w:t>Dominant; higher noise increases average squared-error magnitude and changes method gaps</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G</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0.1070</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157.8</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Second for absolute RMSE; larger G lowers pooled fitted error in Code 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mean_nsamp</w:t>
            </w:r>
          </w:p>
        </w:tc>
        <w:tc>
          <w:tcPr>
            <w:tcW w:type="dxa" w:w="1450"/>
            <w:vAlign w:val="top"/>
            <w:tcMar>
              <w:top w:w="72" w:type="dxa"/>
              <w:start w:w="100" w:type="dxa"/>
              <w:bottom w:w="72" w:type="dxa"/>
              <w:end w:w="100" w:type="dxa"/>
            </w:tcMar>
          </w:tcPr>
          <w:p>
            <w:pPr>
              <w:spacing w:after="0"/>
            </w:pPr>
            <w:r>
              <w:rPr>
                <w:rFonts w:ascii="Calibri" w:hAnsi="Calibri"/>
                <w:color w:val="1F2937"/>
                <w:sz w:val="16"/>
              </w:rPr>
              <w:t>0.0092</w:t>
            </w:r>
          </w:p>
        </w:tc>
        <w:tc>
          <w:tcPr>
            <w:tcW w:type="dxa" w:w="1580"/>
            <w:vAlign w:val="top"/>
            <w:tcMar>
              <w:top w:w="72" w:type="dxa"/>
              <w:start w:w="100" w:type="dxa"/>
              <w:bottom w:w="72" w:type="dxa"/>
              <w:end w:w="100" w:type="dxa"/>
            </w:tcMar>
          </w:tcPr>
          <w:p>
            <w:pPr>
              <w:spacing w:after="0"/>
            </w:pPr>
            <w:r>
              <w:rPr>
                <w:rFonts w:ascii="Calibri" w:hAnsi="Calibri"/>
                <w:color w:val="1F2937"/>
                <w:sz w:val="16"/>
              </w:rPr>
              <w:t>239.2</w:t>
            </w:r>
          </w:p>
        </w:tc>
        <w:tc>
          <w:tcPr>
            <w:tcW w:type="dxa" w:w="4930"/>
            <w:vAlign w:val="top"/>
            <w:tcMar>
              <w:top w:w="72" w:type="dxa"/>
              <w:start w:w="100" w:type="dxa"/>
              <w:bottom w:w="72" w:type="dxa"/>
              <w:end w:w="100" w:type="dxa"/>
            </w:tcMar>
          </w:tcPr>
          <w:p>
            <w:pPr>
              <w:spacing w:after="0"/>
            </w:pPr>
            <w:r>
              <w:rPr>
                <w:rFonts w:ascii="Calibri" w:hAnsi="Calibri"/>
                <w:color w:val="1F2937"/>
                <w:sz w:val="16"/>
              </w:rPr>
              <w:t>Larger samples lower error and materially separate close methods</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design_block</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0.0059</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245.3</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Sampling distribution changes RMSE and relative method performance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theta_true</w:t>
            </w:r>
          </w:p>
        </w:tc>
        <w:tc>
          <w:tcPr>
            <w:tcW w:type="dxa" w:w="1450"/>
            <w:vAlign w:val="top"/>
            <w:tcMar>
              <w:top w:w="72" w:type="dxa"/>
              <w:start w:w="100" w:type="dxa"/>
              <w:bottom w:w="72" w:type="dxa"/>
              <w:end w:w="100" w:type="dxa"/>
            </w:tcMar>
          </w:tcPr>
          <w:p>
            <w:pPr>
              <w:spacing w:after="0"/>
            </w:pPr>
            <w:r>
              <w:rPr>
                <w:rFonts w:ascii="Calibri" w:hAnsi="Calibri"/>
                <w:color w:val="1F2937"/>
                <w:sz w:val="16"/>
              </w:rPr>
              <w:t>0.0034</w:t>
            </w:r>
          </w:p>
        </w:tc>
        <w:tc>
          <w:tcPr>
            <w:tcW w:type="dxa" w:w="1580"/>
            <w:vAlign w:val="top"/>
            <w:tcMar>
              <w:top w:w="72" w:type="dxa"/>
              <w:start w:w="100" w:type="dxa"/>
              <w:bottom w:w="72" w:type="dxa"/>
              <w:end w:w="100" w:type="dxa"/>
            </w:tcMar>
          </w:tcPr>
          <w:p>
            <w:pPr>
              <w:spacing w:after="0"/>
            </w:pPr>
            <w:r>
              <w:rPr>
                <w:rFonts w:ascii="Calibri" w:hAnsi="Calibri"/>
                <w:color w:val="1F2937"/>
                <w:sz w:val="16"/>
              </w:rPr>
              <w:t>50.2</w:t>
            </w:r>
          </w:p>
        </w:tc>
        <w:tc>
          <w:tcPr>
            <w:tcW w:type="dxa" w:w="4930"/>
            <w:vAlign w:val="top"/>
            <w:tcMar>
              <w:top w:w="72" w:type="dxa"/>
              <w:start w:w="100" w:type="dxa"/>
              <w:bottom w:w="72" w:type="dxa"/>
              <w:end w:w="100" w:type="dxa"/>
            </w:tcMar>
          </w:tcPr>
          <w:p>
            <w:pPr>
              <w:spacing w:after="0"/>
            </w:pPr>
            <w:r>
              <w:rPr>
                <w:rFonts w:ascii="Calibri" w:hAnsi="Calibri"/>
                <w:color w:val="1F2937"/>
                <w:sz w:val="16"/>
              </w:rPr>
              <w:t>Small; higher theta_true lowers pooled fitted error</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theta_CV</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approximately 0.0003</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2.0</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Negligible; higher heterogeneity produces only a slight pooled increase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p1, p2</w:t>
            </w:r>
          </w:p>
        </w:tc>
        <w:tc>
          <w:tcPr>
            <w:tcW w:type="dxa" w:w="1450"/>
            <w:vAlign w:val="top"/>
            <w:tcMar>
              <w:top w:w="72" w:type="dxa"/>
              <w:start w:w="100" w:type="dxa"/>
              <w:bottom w:w="72" w:type="dxa"/>
              <w:end w:w="100" w:type="dxa"/>
            </w:tcMar>
          </w:tcPr>
          <w:p>
            <w:pPr>
              <w:spacing w:after="0"/>
            </w:pPr>
            <w:r>
              <w:rPr>
                <w:rFonts w:ascii="Calibri" w:hAnsi="Calibri"/>
                <w:color w:val="1F2937"/>
                <w:sz w:val="16"/>
              </w:rPr>
              <w:t>approximately 0</w:t>
            </w:r>
          </w:p>
        </w:tc>
        <w:tc>
          <w:tcPr>
            <w:tcW w:type="dxa" w:w="1580"/>
            <w:vAlign w:val="top"/>
            <w:tcMar>
              <w:top w:w="72" w:type="dxa"/>
              <w:start w:w="100" w:type="dxa"/>
              <w:bottom w:w="72" w:type="dxa"/>
              <w:end w:w="100" w:type="dxa"/>
            </w:tcMar>
          </w:tcPr>
          <w:p>
            <w:pPr>
              <w:spacing w:after="0"/>
            </w:pPr>
            <w:r>
              <w:rPr>
                <w:rFonts w:ascii="Calibri" w:hAnsi="Calibri"/>
                <w:color w:val="1F2937"/>
                <w:sz w:val="16"/>
              </w:rPr>
              <w:t>0.2 and 1.5</w:t>
            </w:r>
          </w:p>
        </w:tc>
        <w:tc>
          <w:tcPr>
            <w:tcW w:type="dxa" w:w="4930"/>
            <w:vAlign w:val="top"/>
            <w:tcMar>
              <w:top w:w="72" w:type="dxa"/>
              <w:start w:w="100" w:type="dxa"/>
              <w:bottom w:w="72" w:type="dxa"/>
              <w:end w:w="100" w:type="dxa"/>
            </w:tcMar>
          </w:tcPr>
          <w:p>
            <w:pPr>
              <w:spacing w:after="0"/>
            </w:pPr>
            <w:r>
              <w:rPr>
                <w:rFonts w:ascii="Calibri" w:hAnsi="Calibri"/>
                <w:color w:val="1F2937"/>
                <w:sz w:val="16"/>
              </w:rPr>
              <w:t>No meaningful linear effect, but the joint nonlinear surface is significant</w:t>
            </w:r>
          </w:p>
        </w:tc>
      </w:tr>
    </w:tbl>
    <w:p>
      <w:pPr>
        <w:spacing w:after="0"/>
      </w:pPr>
    </w:p>
    <w:p>
      <w:pPr>
        <w:keepLines w:val="0"/>
      </w:pPr>
      <w:r>
        <w:t>RMSE is affected most strongly by sigma and G. The method-by-sigma interaction is also the largest RMSE interaction in Code A (eta_p^2 = 0.00470), followed by method-by-mean_nsamp and smaller distribution-block and G interactions. Code C-D confirms that sigma, design block, mean sample size, G, and theta_true affect pairwise RMSE differences in the same general order. The top method is condition-dependent: v has the strongest global and Code A results, iii and iv lead in Code B, and iv has the smallest Code E conditional fitted RMSE.</w:t>
      </w:r>
    </w:p>
    <w:p>
      <w:pPr>
        <w:pStyle w:val="Heading2"/>
      </w:pPr>
      <w:r>
        <w:t>3.3 L1</w:t>
      </w:r>
    </w:p>
    <w:tbl>
      <w:tblPr>
        <w:tblStyle w:val="TableGrid"/>
        <w:tblW w:type="dxa" w:w="9360"/>
        <w:jc w:val="left"/>
        <w:tblLayout w:type="fixed"/>
        <w:tblLook w:firstColumn="1" w:firstRow="1" w:lastColumn="0" w:lastRow="0" w:noHBand="0" w:noVBand="1" w:val="04A0"/>
        <w:tblInd w:w="120" w:type="dxa"/>
      </w:tblPr>
      <w:tblGrid>
        <w:gridCol w:w="1400"/>
        <w:gridCol w:w="1450"/>
        <w:gridCol w:w="1580"/>
        <w:gridCol w:w="4930"/>
      </w:tblGrid>
      <w:tr>
        <w:trPr>
          <w:tblHeader w:val="true"/>
          <w:cantSplit/>
        </w:trPr>
        <w:tc>
          <w:tcPr>
            <w:tcW w:type="dxa" w:w="1400"/>
            <w:shd w:fill="2E74B5"/>
            <w:vAlign w:val="center"/>
            <w:tcMar>
              <w:top w:w="72" w:type="dxa"/>
              <w:start w:w="100" w:type="dxa"/>
              <w:bottom w:w="72" w:type="dxa"/>
              <w:end w:w="100" w:type="dxa"/>
            </w:tcMar>
          </w:tcPr>
          <w:p>
            <w:pPr>
              <w:keepNext/>
              <w:spacing w:after="0"/>
            </w:pPr>
            <w:r>
              <w:rPr>
                <w:rFonts w:ascii="Calibri" w:hAnsi="Calibri"/>
                <w:b/>
                <w:color w:val="FFFFFF"/>
                <w:sz w:val="16"/>
              </w:rPr>
              <w:t>Factor</w:t>
            </w:r>
          </w:p>
        </w:tc>
        <w:tc>
          <w:tcPr>
            <w:tcW w:type="dxa" w:w="1450"/>
            <w:shd w:fill="2E74B5"/>
            <w:vAlign w:val="center"/>
            <w:tcMar>
              <w:top w:w="72" w:type="dxa"/>
              <w:start w:w="100" w:type="dxa"/>
              <w:bottom w:w="72" w:type="dxa"/>
              <w:end w:w="100" w:type="dxa"/>
            </w:tcMar>
          </w:tcPr>
          <w:p>
            <w:pPr>
              <w:keepNext/>
              <w:spacing w:after="0"/>
            </w:pPr>
            <w:r>
              <w:rPr>
                <w:rFonts w:ascii="Calibri" w:hAnsi="Calibri"/>
                <w:b/>
                <w:color w:val="FFFFFF"/>
                <w:sz w:val="16"/>
              </w:rPr>
              <w:t>Code A eta_p^2</w:t>
            </w:r>
          </w:p>
        </w:tc>
        <w:tc>
          <w:tcPr>
            <w:tcW w:type="dxa" w:w="1580"/>
            <w:shd w:fill="2E74B5"/>
            <w:vAlign w:val="center"/>
            <w:tcMar>
              <w:top w:w="72" w:type="dxa"/>
              <w:start w:w="100" w:type="dxa"/>
              <w:bottom w:w="72" w:type="dxa"/>
              <w:end w:w="100" w:type="dxa"/>
            </w:tcMar>
          </w:tcPr>
          <w:p>
            <w:pPr>
              <w:keepNext/>
              <w:spacing w:after="0"/>
            </w:pPr>
            <w:r>
              <w:rPr>
                <w:rFonts w:ascii="Calibri" w:hAnsi="Calibri"/>
                <w:b/>
                <w:color w:val="FFFFFF"/>
                <w:sz w:val="16"/>
              </w:rPr>
              <w:t>Code C-D median F</w:t>
            </w:r>
          </w:p>
        </w:tc>
        <w:tc>
          <w:tcPr>
            <w:tcW w:type="dxa" w:w="4930"/>
            <w:shd w:fill="2E74B5"/>
            <w:vAlign w:val="center"/>
            <w:tcMar>
              <w:top w:w="72" w:type="dxa"/>
              <w:start w:w="100" w:type="dxa"/>
              <w:bottom w:w="72" w:type="dxa"/>
              <w:end w:w="100" w:type="dxa"/>
            </w:tcMar>
          </w:tcPr>
          <w:p>
            <w:pPr>
              <w:keepNext/>
              <w:spacing w:after="0"/>
            </w:pPr>
            <w:r>
              <w:rPr>
                <w:rFonts w:ascii="Calibri" w:hAnsi="Calibri"/>
                <w:b/>
                <w:color w:val="FFFFFF"/>
                <w:sz w:val="16"/>
              </w:rPr>
              <w:t>L1 interpretation</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sigma</w:t>
            </w:r>
          </w:p>
        </w:tc>
        <w:tc>
          <w:tcPr>
            <w:tcW w:type="dxa" w:w="1450"/>
            <w:vAlign w:val="top"/>
            <w:tcMar>
              <w:top w:w="72" w:type="dxa"/>
              <w:start w:w="100" w:type="dxa"/>
              <w:bottom w:w="72" w:type="dxa"/>
              <w:end w:w="100" w:type="dxa"/>
            </w:tcMar>
          </w:tcPr>
          <w:p>
            <w:pPr>
              <w:spacing w:after="0"/>
            </w:pPr>
            <w:r>
              <w:rPr>
                <w:rFonts w:ascii="Calibri" w:hAnsi="Calibri"/>
                <w:color w:val="1F2937"/>
                <w:sz w:val="16"/>
              </w:rPr>
              <w:t>0.1599</w:t>
            </w:r>
          </w:p>
        </w:tc>
        <w:tc>
          <w:tcPr>
            <w:tcW w:type="dxa" w:w="1580"/>
            <w:vAlign w:val="top"/>
            <w:tcMar>
              <w:top w:w="72" w:type="dxa"/>
              <w:start w:w="100" w:type="dxa"/>
              <w:bottom w:w="72" w:type="dxa"/>
              <w:end w:w="100" w:type="dxa"/>
            </w:tcMar>
          </w:tcPr>
          <w:p>
            <w:pPr>
              <w:spacing w:after="0"/>
            </w:pPr>
            <w:r>
              <w:rPr>
                <w:rFonts w:ascii="Calibri" w:hAnsi="Calibri"/>
                <w:color w:val="1F2937"/>
                <w:sz w:val="16"/>
              </w:rPr>
              <w:t>644.0</w:t>
            </w:r>
          </w:p>
        </w:tc>
        <w:tc>
          <w:tcPr>
            <w:tcW w:type="dxa" w:w="4930"/>
            <w:vAlign w:val="top"/>
            <w:tcMar>
              <w:top w:w="72" w:type="dxa"/>
              <w:start w:w="100" w:type="dxa"/>
              <w:bottom w:w="72" w:type="dxa"/>
              <w:end w:w="100" w:type="dxa"/>
            </w:tcMar>
          </w:tcPr>
          <w:p>
            <w:pPr>
              <w:spacing w:after="0"/>
            </w:pPr>
            <w:r>
              <w:rPr>
                <w:rFonts w:ascii="Calibri" w:hAnsi="Calibri"/>
                <w:color w:val="1F2937"/>
                <w:sz w:val="16"/>
              </w:rPr>
              <w:t>Largest effect of any metric; noise increases total absolute deviation</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G</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0.1127</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155.7</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Second for absolute L1 and substantially larger than secondary factors</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mean_nsamp</w:t>
            </w:r>
          </w:p>
        </w:tc>
        <w:tc>
          <w:tcPr>
            <w:tcW w:type="dxa" w:w="1450"/>
            <w:vAlign w:val="top"/>
            <w:tcMar>
              <w:top w:w="72" w:type="dxa"/>
              <w:start w:w="100" w:type="dxa"/>
              <w:bottom w:w="72" w:type="dxa"/>
              <w:end w:w="100" w:type="dxa"/>
            </w:tcMar>
          </w:tcPr>
          <w:p>
            <w:pPr>
              <w:spacing w:after="0"/>
            </w:pPr>
            <w:r>
              <w:rPr>
                <w:rFonts w:ascii="Calibri" w:hAnsi="Calibri"/>
                <w:color w:val="1F2937"/>
                <w:sz w:val="16"/>
              </w:rPr>
              <w:t>0.0108</w:t>
            </w:r>
          </w:p>
        </w:tc>
        <w:tc>
          <w:tcPr>
            <w:tcW w:type="dxa" w:w="1580"/>
            <w:vAlign w:val="top"/>
            <w:tcMar>
              <w:top w:w="72" w:type="dxa"/>
              <w:start w:w="100" w:type="dxa"/>
              <w:bottom w:w="72" w:type="dxa"/>
              <w:end w:w="100" w:type="dxa"/>
            </w:tcMar>
          </w:tcPr>
          <w:p>
            <w:pPr>
              <w:spacing w:after="0"/>
            </w:pPr>
            <w:r>
              <w:rPr>
                <w:rFonts w:ascii="Calibri" w:hAnsi="Calibri"/>
                <w:color w:val="1F2937"/>
                <w:sz w:val="16"/>
              </w:rPr>
              <w:t>244.0</w:t>
            </w:r>
          </w:p>
        </w:tc>
        <w:tc>
          <w:tcPr>
            <w:tcW w:type="dxa" w:w="4930"/>
            <w:vAlign w:val="top"/>
            <w:tcMar>
              <w:top w:w="72" w:type="dxa"/>
              <w:start w:w="100" w:type="dxa"/>
              <w:bottom w:w="72" w:type="dxa"/>
              <w:end w:w="100" w:type="dxa"/>
            </w:tcMar>
          </w:tcPr>
          <w:p>
            <w:pPr>
              <w:spacing w:after="0"/>
            </w:pPr>
            <w:r>
              <w:rPr>
                <w:rFonts w:ascii="Calibri" w:hAnsi="Calibri"/>
                <w:color w:val="1F2937"/>
                <w:sz w:val="16"/>
              </w:rPr>
              <w:t>Larger samples reduce L1 and separate close estimators</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design_block</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0.0062</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236.5</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Consistent distribution-dependent performance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theta_true</w:t>
            </w:r>
          </w:p>
        </w:tc>
        <w:tc>
          <w:tcPr>
            <w:tcW w:type="dxa" w:w="1450"/>
            <w:vAlign w:val="top"/>
            <w:tcMar>
              <w:top w:w="72" w:type="dxa"/>
              <w:start w:w="100" w:type="dxa"/>
              <w:bottom w:w="72" w:type="dxa"/>
              <w:end w:w="100" w:type="dxa"/>
            </w:tcMar>
          </w:tcPr>
          <w:p>
            <w:pPr>
              <w:spacing w:after="0"/>
            </w:pPr>
            <w:r>
              <w:rPr>
                <w:rFonts w:ascii="Calibri" w:hAnsi="Calibri"/>
                <w:color w:val="1F2937"/>
                <w:sz w:val="16"/>
              </w:rPr>
              <w:t>0.0038</w:t>
            </w:r>
          </w:p>
        </w:tc>
        <w:tc>
          <w:tcPr>
            <w:tcW w:type="dxa" w:w="1580"/>
            <w:vAlign w:val="top"/>
            <w:tcMar>
              <w:top w:w="72" w:type="dxa"/>
              <w:start w:w="100" w:type="dxa"/>
              <w:bottom w:w="72" w:type="dxa"/>
              <w:end w:w="100" w:type="dxa"/>
            </w:tcMar>
          </w:tcPr>
          <w:p>
            <w:pPr>
              <w:spacing w:after="0"/>
            </w:pPr>
            <w:r>
              <w:rPr>
                <w:rFonts w:ascii="Calibri" w:hAnsi="Calibri"/>
                <w:color w:val="1F2937"/>
                <w:sz w:val="16"/>
              </w:rPr>
              <w:t>50.3</w:t>
            </w:r>
          </w:p>
        </w:tc>
        <w:tc>
          <w:tcPr>
            <w:tcW w:type="dxa" w:w="4930"/>
            <w:vAlign w:val="top"/>
            <w:tcMar>
              <w:top w:w="72" w:type="dxa"/>
              <w:start w:w="100" w:type="dxa"/>
              <w:bottom w:w="72" w:type="dxa"/>
              <w:end w:w="100" w:type="dxa"/>
            </w:tcMar>
          </w:tcPr>
          <w:p>
            <w:pPr>
              <w:spacing w:after="0"/>
            </w:pPr>
            <w:r>
              <w:rPr>
                <w:rFonts w:ascii="Calibri" w:hAnsi="Calibri"/>
                <w:color w:val="1F2937"/>
                <w:sz w:val="16"/>
              </w:rPr>
              <w:t>Small but reproducible</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theta_CV</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approximately 0.0003</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2.1</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Negligible in practical magnitude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p1, p2</w:t>
            </w:r>
          </w:p>
        </w:tc>
        <w:tc>
          <w:tcPr>
            <w:tcW w:type="dxa" w:w="1450"/>
            <w:vAlign w:val="top"/>
            <w:tcMar>
              <w:top w:w="72" w:type="dxa"/>
              <w:start w:w="100" w:type="dxa"/>
              <w:bottom w:w="72" w:type="dxa"/>
              <w:end w:w="100" w:type="dxa"/>
            </w:tcMar>
          </w:tcPr>
          <w:p>
            <w:pPr>
              <w:spacing w:after="0"/>
            </w:pPr>
            <w:r>
              <w:rPr>
                <w:rFonts w:ascii="Calibri" w:hAnsi="Calibri"/>
                <w:color w:val="1F2937"/>
                <w:sz w:val="16"/>
              </w:rPr>
              <w:t>approximately 0</w:t>
            </w:r>
          </w:p>
        </w:tc>
        <w:tc>
          <w:tcPr>
            <w:tcW w:type="dxa" w:w="1580"/>
            <w:vAlign w:val="top"/>
            <w:tcMar>
              <w:top w:w="72" w:type="dxa"/>
              <w:start w:w="100" w:type="dxa"/>
              <w:bottom w:w="72" w:type="dxa"/>
              <w:end w:w="100" w:type="dxa"/>
            </w:tcMar>
          </w:tcPr>
          <w:p>
            <w:pPr>
              <w:spacing w:after="0"/>
            </w:pPr>
            <w:r>
              <w:rPr>
                <w:rFonts w:ascii="Calibri" w:hAnsi="Calibri"/>
                <w:color w:val="1F2937"/>
                <w:sz w:val="16"/>
              </w:rPr>
              <w:t>0.2 and 1.5</w:t>
            </w:r>
          </w:p>
        </w:tc>
        <w:tc>
          <w:tcPr>
            <w:tcW w:type="dxa" w:w="4930"/>
            <w:vAlign w:val="top"/>
            <w:tcMar>
              <w:top w:w="72" w:type="dxa"/>
              <w:start w:w="100" w:type="dxa"/>
              <w:bottom w:w="72" w:type="dxa"/>
              <w:end w:w="100" w:type="dxa"/>
            </w:tcMar>
          </w:tcPr>
          <w:p>
            <w:pPr>
              <w:spacing w:after="0"/>
            </w:pPr>
            <w:r>
              <w:rPr>
                <w:rFonts w:ascii="Calibri" w:hAnsi="Calibri"/>
                <w:color w:val="1F2937"/>
                <w:sz w:val="16"/>
              </w:rPr>
              <w:t>Linear terms weak; nonlinear simplex position matters</w:t>
            </w:r>
          </w:p>
        </w:tc>
      </w:tr>
    </w:tbl>
    <w:p>
      <w:pPr>
        <w:spacing w:after="0"/>
      </w:pPr>
    </w:p>
    <w:p>
      <w:pPr>
        <w:keepLines w:val="0"/>
      </w:pPr>
      <w:r>
        <w:t>L1 shows the same factor hierarchy as RMSE, with slightly larger partial eta-squared values for sigma and G. The method-by-sigma interaction remains the largest conditional effect (eta_p^2 = 0.00427), so total absolute error gaps expand or contract differently as noise rises. The method evidence most strongly supports v and iii for L1: v leads globally and in Code A, whereas iii leads the Code B and Code E conditional comparisons. Method iv remains close, and method i is consistently preferable to method ii for L1.</w:t>
      </w:r>
    </w:p>
    <w:p>
      <w:r>
        <w:br w:type="page"/>
      </w:r>
    </w:p>
    <w:p>
      <w:pPr>
        <w:pStyle w:val="Heading2"/>
      </w:pPr>
      <w:r>
        <w:t>3.4 Linf</w:t>
      </w:r>
    </w:p>
    <w:tbl>
      <w:tblPr>
        <w:tblStyle w:val="TableGrid"/>
        <w:tblW w:type="dxa" w:w="9360"/>
        <w:jc w:val="left"/>
        <w:tblLayout w:type="fixed"/>
        <w:tblLook w:firstColumn="1" w:firstRow="1" w:lastColumn="0" w:lastRow="0" w:noHBand="0" w:noVBand="1" w:val="04A0"/>
        <w:tblInd w:w="120" w:type="dxa"/>
      </w:tblPr>
      <w:tblGrid>
        <w:gridCol w:w="1400"/>
        <w:gridCol w:w="1450"/>
        <w:gridCol w:w="1580"/>
        <w:gridCol w:w="4930"/>
      </w:tblGrid>
      <w:tr>
        <w:trPr>
          <w:tblHeader w:val="true"/>
          <w:cantSplit/>
        </w:trPr>
        <w:tc>
          <w:tcPr>
            <w:tcW w:type="dxa" w:w="1400"/>
            <w:shd w:fill="2E74B5"/>
            <w:vAlign w:val="center"/>
            <w:tcMar>
              <w:top w:w="72" w:type="dxa"/>
              <w:start w:w="100" w:type="dxa"/>
              <w:bottom w:w="72" w:type="dxa"/>
              <w:end w:w="100" w:type="dxa"/>
            </w:tcMar>
          </w:tcPr>
          <w:p>
            <w:pPr>
              <w:keepNext/>
              <w:spacing w:after="0"/>
            </w:pPr>
            <w:r>
              <w:rPr>
                <w:rFonts w:ascii="Calibri" w:hAnsi="Calibri"/>
                <w:b/>
                <w:color w:val="FFFFFF"/>
                <w:sz w:val="16"/>
              </w:rPr>
              <w:t>Factor</w:t>
            </w:r>
          </w:p>
        </w:tc>
        <w:tc>
          <w:tcPr>
            <w:tcW w:type="dxa" w:w="1450"/>
            <w:shd w:fill="2E74B5"/>
            <w:vAlign w:val="center"/>
            <w:tcMar>
              <w:top w:w="72" w:type="dxa"/>
              <w:start w:w="100" w:type="dxa"/>
              <w:bottom w:w="72" w:type="dxa"/>
              <w:end w:w="100" w:type="dxa"/>
            </w:tcMar>
          </w:tcPr>
          <w:p>
            <w:pPr>
              <w:keepNext/>
              <w:spacing w:after="0"/>
            </w:pPr>
            <w:r>
              <w:rPr>
                <w:rFonts w:ascii="Calibri" w:hAnsi="Calibri"/>
                <w:b/>
                <w:color w:val="FFFFFF"/>
                <w:sz w:val="16"/>
              </w:rPr>
              <w:t>Code A eta_p^2</w:t>
            </w:r>
          </w:p>
        </w:tc>
        <w:tc>
          <w:tcPr>
            <w:tcW w:type="dxa" w:w="1580"/>
            <w:shd w:fill="2E74B5"/>
            <w:vAlign w:val="center"/>
            <w:tcMar>
              <w:top w:w="72" w:type="dxa"/>
              <w:start w:w="100" w:type="dxa"/>
              <w:bottom w:w="72" w:type="dxa"/>
              <w:end w:w="100" w:type="dxa"/>
            </w:tcMar>
          </w:tcPr>
          <w:p>
            <w:pPr>
              <w:keepNext/>
              <w:spacing w:after="0"/>
            </w:pPr>
            <w:r>
              <w:rPr>
                <w:rFonts w:ascii="Calibri" w:hAnsi="Calibri"/>
                <w:b/>
                <w:color w:val="FFFFFF"/>
                <w:sz w:val="16"/>
              </w:rPr>
              <w:t>Code C-D median F</w:t>
            </w:r>
          </w:p>
        </w:tc>
        <w:tc>
          <w:tcPr>
            <w:tcW w:type="dxa" w:w="4930"/>
            <w:shd w:fill="2E74B5"/>
            <w:vAlign w:val="center"/>
            <w:tcMar>
              <w:top w:w="72" w:type="dxa"/>
              <w:start w:w="100" w:type="dxa"/>
              <w:bottom w:w="72" w:type="dxa"/>
              <w:end w:w="100" w:type="dxa"/>
            </w:tcMar>
          </w:tcPr>
          <w:p>
            <w:pPr>
              <w:keepNext/>
              <w:spacing w:after="0"/>
            </w:pPr>
            <w:r>
              <w:rPr>
                <w:rFonts w:ascii="Calibri" w:hAnsi="Calibri"/>
                <w:b/>
                <w:color w:val="FFFFFF"/>
                <w:sz w:val="16"/>
              </w:rPr>
              <w:t>Linf interpretation</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sigma</w:t>
            </w:r>
          </w:p>
        </w:tc>
        <w:tc>
          <w:tcPr>
            <w:tcW w:type="dxa" w:w="1450"/>
            <w:vAlign w:val="top"/>
            <w:tcMar>
              <w:top w:w="72" w:type="dxa"/>
              <w:start w:w="100" w:type="dxa"/>
              <w:bottom w:w="72" w:type="dxa"/>
              <w:end w:w="100" w:type="dxa"/>
            </w:tcMar>
          </w:tcPr>
          <w:p>
            <w:pPr>
              <w:spacing w:after="0"/>
            </w:pPr>
            <w:r>
              <w:rPr>
                <w:rFonts w:ascii="Calibri" w:hAnsi="Calibri"/>
                <w:color w:val="1F2937"/>
                <w:sz w:val="16"/>
              </w:rPr>
              <w:t>0.1533</w:t>
            </w:r>
          </w:p>
        </w:tc>
        <w:tc>
          <w:tcPr>
            <w:tcW w:type="dxa" w:w="1580"/>
            <w:vAlign w:val="top"/>
            <w:tcMar>
              <w:top w:w="72" w:type="dxa"/>
              <w:start w:w="100" w:type="dxa"/>
              <w:bottom w:w="72" w:type="dxa"/>
              <w:end w:w="100" w:type="dxa"/>
            </w:tcMar>
          </w:tcPr>
          <w:p>
            <w:pPr>
              <w:spacing w:after="0"/>
            </w:pPr>
            <w:r>
              <w:rPr>
                <w:rFonts w:ascii="Calibri" w:hAnsi="Calibri"/>
                <w:color w:val="1F2937"/>
                <w:sz w:val="16"/>
              </w:rPr>
              <w:t>644.0</w:t>
            </w:r>
          </w:p>
        </w:tc>
        <w:tc>
          <w:tcPr>
            <w:tcW w:type="dxa" w:w="4930"/>
            <w:vAlign w:val="top"/>
            <w:tcMar>
              <w:top w:w="72" w:type="dxa"/>
              <w:start w:w="100" w:type="dxa"/>
              <w:bottom w:w="72" w:type="dxa"/>
              <w:end w:w="100" w:type="dxa"/>
            </w:tcMar>
          </w:tcPr>
          <w:p>
            <w:pPr>
              <w:spacing w:after="0"/>
            </w:pPr>
            <w:r>
              <w:rPr>
                <w:rFonts w:ascii="Calibri" w:hAnsi="Calibri"/>
                <w:color w:val="1F2937"/>
                <w:sz w:val="16"/>
              </w:rPr>
              <w:t>Dominant driver of maximum component error and method sensitivity</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G</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0.1085</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155.7</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Second for absolute Linf</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mean_nsamp</w:t>
            </w:r>
          </w:p>
        </w:tc>
        <w:tc>
          <w:tcPr>
            <w:tcW w:type="dxa" w:w="1450"/>
            <w:vAlign w:val="top"/>
            <w:tcMar>
              <w:top w:w="72" w:type="dxa"/>
              <w:start w:w="100" w:type="dxa"/>
              <w:bottom w:w="72" w:type="dxa"/>
              <w:end w:w="100" w:type="dxa"/>
            </w:tcMar>
          </w:tcPr>
          <w:p>
            <w:pPr>
              <w:spacing w:after="0"/>
            </w:pPr>
            <w:r>
              <w:rPr>
                <w:rFonts w:ascii="Calibri" w:hAnsi="Calibri"/>
                <w:color w:val="1F2937"/>
                <w:sz w:val="16"/>
              </w:rPr>
              <w:t>0.0097</w:t>
            </w:r>
          </w:p>
        </w:tc>
        <w:tc>
          <w:tcPr>
            <w:tcW w:type="dxa" w:w="1580"/>
            <w:vAlign w:val="top"/>
            <w:tcMar>
              <w:top w:w="72" w:type="dxa"/>
              <w:start w:w="100" w:type="dxa"/>
              <w:bottom w:w="72" w:type="dxa"/>
              <w:end w:w="100" w:type="dxa"/>
            </w:tcMar>
          </w:tcPr>
          <w:p>
            <w:pPr>
              <w:spacing w:after="0"/>
            </w:pPr>
            <w:r>
              <w:rPr>
                <w:rFonts w:ascii="Calibri" w:hAnsi="Calibri"/>
                <w:color w:val="1F2937"/>
                <w:sz w:val="16"/>
              </w:rPr>
              <w:t>244.0</w:t>
            </w:r>
          </w:p>
        </w:tc>
        <w:tc>
          <w:tcPr>
            <w:tcW w:type="dxa" w:w="4930"/>
            <w:vAlign w:val="top"/>
            <w:tcMar>
              <w:top w:w="72" w:type="dxa"/>
              <w:start w:w="100" w:type="dxa"/>
              <w:bottom w:w="72" w:type="dxa"/>
              <w:end w:w="100" w:type="dxa"/>
            </w:tcMar>
          </w:tcPr>
          <w:p>
            <w:pPr>
              <w:spacing w:after="0"/>
            </w:pPr>
            <w:r>
              <w:rPr>
                <w:rFonts w:ascii="Calibri" w:hAnsi="Calibri"/>
                <w:color w:val="1F2937"/>
                <w:sz w:val="16"/>
              </w:rPr>
              <w:t>Higher sample size reduces error; iv gains most in Code A</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design_block</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0.0060</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236.5</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Small absolute effect but important for some leading-method gaps</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theta_true</w:t>
            </w:r>
          </w:p>
        </w:tc>
        <w:tc>
          <w:tcPr>
            <w:tcW w:type="dxa" w:w="1450"/>
            <w:vAlign w:val="top"/>
            <w:tcMar>
              <w:top w:w="72" w:type="dxa"/>
              <w:start w:w="100" w:type="dxa"/>
              <w:bottom w:w="72" w:type="dxa"/>
              <w:end w:w="100" w:type="dxa"/>
            </w:tcMar>
          </w:tcPr>
          <w:p>
            <w:pPr>
              <w:spacing w:after="0"/>
            </w:pPr>
            <w:r>
              <w:rPr>
                <w:rFonts w:ascii="Calibri" w:hAnsi="Calibri"/>
                <w:color w:val="1F2937"/>
                <w:sz w:val="16"/>
              </w:rPr>
              <w:t>0.0036</w:t>
            </w:r>
          </w:p>
        </w:tc>
        <w:tc>
          <w:tcPr>
            <w:tcW w:type="dxa" w:w="1580"/>
            <w:vAlign w:val="top"/>
            <w:tcMar>
              <w:top w:w="72" w:type="dxa"/>
              <w:start w:w="100" w:type="dxa"/>
              <w:bottom w:w="72" w:type="dxa"/>
              <w:end w:w="100" w:type="dxa"/>
            </w:tcMar>
          </w:tcPr>
          <w:p>
            <w:pPr>
              <w:spacing w:after="0"/>
            </w:pPr>
            <w:r>
              <w:rPr>
                <w:rFonts w:ascii="Calibri" w:hAnsi="Calibri"/>
                <w:color w:val="1F2937"/>
                <w:sz w:val="16"/>
              </w:rPr>
              <w:t>50.3</w:t>
            </w:r>
          </w:p>
        </w:tc>
        <w:tc>
          <w:tcPr>
            <w:tcW w:type="dxa" w:w="4930"/>
            <w:vAlign w:val="top"/>
            <w:tcMar>
              <w:top w:w="72" w:type="dxa"/>
              <w:start w:w="100" w:type="dxa"/>
              <w:bottom w:w="72" w:type="dxa"/>
              <w:end w:w="100" w:type="dxa"/>
            </w:tcMar>
          </w:tcPr>
          <w:p>
            <w:pPr>
              <w:spacing w:after="0"/>
            </w:pPr>
            <w:r>
              <w:rPr>
                <w:rFonts w:ascii="Calibri" w:hAnsi="Calibri"/>
                <w:color w:val="1F2937"/>
                <w:sz w:val="16"/>
              </w:rPr>
              <w:t>Small, consistent effect</w:t>
            </w:r>
          </w:p>
        </w:tc>
      </w:tr>
      <w:tr>
        <w:trPr>
          <w:cantSplit/>
        </w:trPr>
        <w:tc>
          <w:tcPr>
            <w:tcW w:type="dxa" w:w="1400"/>
            <w:shd w:fill="F5F9FC"/>
            <w:vAlign w:val="top"/>
            <w:tcMar>
              <w:top w:w="72" w:type="dxa"/>
              <w:start w:w="100" w:type="dxa"/>
              <w:bottom w:w="72" w:type="dxa"/>
              <w:end w:w="100" w:type="dxa"/>
            </w:tcMar>
          </w:tcPr>
          <w:p>
            <w:pPr>
              <w:spacing w:after="0"/>
            </w:pPr>
            <w:r>
              <w:rPr>
                <w:rFonts w:ascii="Calibri" w:hAnsi="Calibri"/>
                <w:b/>
                <w:color w:val="1F2937"/>
                <w:sz w:val="16"/>
              </w:rPr>
              <w:t>theta_CV</w:t>
            </w:r>
          </w:p>
        </w:tc>
        <w:tc>
          <w:tcPr>
            <w:tcW w:type="dxa" w:w="1450"/>
            <w:shd w:fill="F5F9FC"/>
            <w:vAlign w:val="top"/>
            <w:tcMar>
              <w:top w:w="72" w:type="dxa"/>
              <w:start w:w="100" w:type="dxa"/>
              <w:bottom w:w="72" w:type="dxa"/>
              <w:end w:w="100" w:type="dxa"/>
            </w:tcMar>
          </w:tcPr>
          <w:p>
            <w:pPr>
              <w:spacing w:after="0"/>
            </w:pPr>
            <w:r>
              <w:rPr>
                <w:rFonts w:ascii="Calibri" w:hAnsi="Calibri"/>
                <w:color w:val="1F2937"/>
                <w:sz w:val="16"/>
              </w:rPr>
              <w:t>approximately 0.0003</w:t>
            </w:r>
          </w:p>
        </w:tc>
        <w:tc>
          <w:tcPr>
            <w:tcW w:type="dxa" w:w="1580"/>
            <w:shd w:fill="F5F9FC"/>
            <w:vAlign w:val="top"/>
            <w:tcMar>
              <w:top w:w="72" w:type="dxa"/>
              <w:start w:w="100" w:type="dxa"/>
              <w:bottom w:w="72" w:type="dxa"/>
              <w:end w:w="100" w:type="dxa"/>
            </w:tcMar>
          </w:tcPr>
          <w:p>
            <w:pPr>
              <w:spacing w:after="0"/>
            </w:pPr>
            <w:r>
              <w:rPr>
                <w:rFonts w:ascii="Calibri" w:hAnsi="Calibri"/>
                <w:color w:val="1F2937"/>
                <w:sz w:val="16"/>
              </w:rPr>
              <w:t>2.1</w:t>
            </w:r>
          </w:p>
        </w:tc>
        <w:tc>
          <w:tcPr>
            <w:tcW w:type="dxa" w:w="4930"/>
            <w:shd w:fill="F5F9FC"/>
            <w:vAlign w:val="top"/>
            <w:tcMar>
              <w:top w:w="72" w:type="dxa"/>
              <w:start w:w="100" w:type="dxa"/>
              <w:bottom w:w="72" w:type="dxa"/>
              <w:end w:w="100" w:type="dxa"/>
            </w:tcMar>
          </w:tcPr>
          <w:p>
            <w:pPr>
              <w:spacing w:after="0"/>
            </w:pPr>
            <w:r>
              <w:rPr>
                <w:rFonts w:ascii="Calibri" w:hAnsi="Calibri"/>
                <w:color w:val="1F2937"/>
                <w:sz w:val="16"/>
              </w:rPr>
              <w:t>Practically negligible</w:t>
            </w:r>
          </w:p>
        </w:tc>
      </w:tr>
      <w:tr>
        <w:trPr>
          <w:cantSplit/>
        </w:trPr>
        <w:tc>
          <w:tcPr>
            <w:tcW w:type="dxa" w:w="1400"/>
            <w:vAlign w:val="top"/>
            <w:tcMar>
              <w:top w:w="72" w:type="dxa"/>
              <w:start w:w="100" w:type="dxa"/>
              <w:bottom w:w="72" w:type="dxa"/>
              <w:end w:w="100" w:type="dxa"/>
            </w:tcMar>
          </w:tcPr>
          <w:p>
            <w:pPr>
              <w:spacing w:after="0"/>
            </w:pPr>
            <w:r>
              <w:rPr>
                <w:rFonts w:ascii="Calibri" w:hAnsi="Calibri"/>
                <w:b/>
                <w:color w:val="1F2937"/>
                <w:sz w:val="16"/>
              </w:rPr>
              <w:t>p1, p2</w:t>
            </w:r>
          </w:p>
        </w:tc>
        <w:tc>
          <w:tcPr>
            <w:tcW w:type="dxa" w:w="1450"/>
            <w:vAlign w:val="top"/>
            <w:tcMar>
              <w:top w:w="72" w:type="dxa"/>
              <w:start w:w="100" w:type="dxa"/>
              <w:bottom w:w="72" w:type="dxa"/>
              <w:end w:w="100" w:type="dxa"/>
            </w:tcMar>
          </w:tcPr>
          <w:p>
            <w:pPr>
              <w:spacing w:after="0"/>
            </w:pPr>
            <w:r>
              <w:rPr>
                <w:rFonts w:ascii="Calibri" w:hAnsi="Calibri"/>
                <w:color w:val="1F2937"/>
                <w:sz w:val="16"/>
              </w:rPr>
              <w:t>approximately 0</w:t>
            </w:r>
          </w:p>
        </w:tc>
        <w:tc>
          <w:tcPr>
            <w:tcW w:type="dxa" w:w="1580"/>
            <w:vAlign w:val="top"/>
            <w:tcMar>
              <w:top w:w="72" w:type="dxa"/>
              <w:start w:w="100" w:type="dxa"/>
              <w:bottom w:w="72" w:type="dxa"/>
              <w:end w:w="100" w:type="dxa"/>
            </w:tcMar>
          </w:tcPr>
          <w:p>
            <w:pPr>
              <w:spacing w:after="0"/>
            </w:pPr>
            <w:r>
              <w:rPr>
                <w:rFonts w:ascii="Calibri" w:hAnsi="Calibri"/>
                <w:color w:val="1F2937"/>
                <w:sz w:val="16"/>
              </w:rPr>
              <w:t>0.2 and 1.5</w:t>
            </w:r>
          </w:p>
        </w:tc>
        <w:tc>
          <w:tcPr>
            <w:tcW w:type="dxa" w:w="4930"/>
            <w:vAlign w:val="top"/>
            <w:tcMar>
              <w:top w:w="72" w:type="dxa"/>
              <w:start w:w="100" w:type="dxa"/>
              <w:bottom w:w="72" w:type="dxa"/>
              <w:end w:w="100" w:type="dxa"/>
            </w:tcMar>
          </w:tcPr>
          <w:p>
            <w:pPr>
              <w:spacing w:after="0"/>
            </w:pPr>
            <w:r>
              <w:rPr>
                <w:rFonts w:ascii="Calibri" w:hAnsi="Calibri"/>
                <w:color w:val="1F2937"/>
                <w:sz w:val="16"/>
              </w:rPr>
              <w:t>No meaningful linear effect; nonlinear position remains relevant</w:t>
            </w:r>
          </w:p>
        </w:tc>
      </w:tr>
    </w:tbl>
    <w:p>
      <w:pPr>
        <w:spacing w:after="0"/>
      </w:pPr>
    </w:p>
    <w:p>
      <w:pPr>
        <w:keepLines w:val="0"/>
      </w:pPr>
      <w:r>
        <w:t>Linf closely reproduces the L1 findings because, for differences between three-part compositions, L1 equals 2 times Linf before transformation. In Code D the two univariate tests have identical F statistics and p-values, and Linf sums of squares are one quarter of L1 sums of squares. Linf therefore does not provide an independent worst-case validation in this study. The method-by-sigma interaction is again the largest (eta_p^2 = 0.00463); Code A indicates that ii deteriorates fastest as sigma increases, while v has the smallest additional deterioration among methods ii-v.</w:t>
      </w:r>
    </w:p>
    <w:p>
      <w:pPr>
        <w:pStyle w:val="Heading2"/>
      </w:pPr>
      <w:r>
        <w:t>3.5 Interaction effects and nonlinear simplex position</w:t>
      </w:r>
    </w:p>
    <w:tbl>
      <w:tblPr>
        <w:tblStyle w:val="TableGrid"/>
        <w:tblW w:type="dxa" w:w="9360"/>
        <w:jc w:val="left"/>
        <w:tblLayout w:type="fixed"/>
        <w:tblLook w:firstColumn="1" w:firstRow="1" w:lastColumn="0" w:lastRow="0" w:noHBand="0" w:noVBand="1" w:val="04A0"/>
        <w:tblInd w:w="120" w:type="dxa"/>
      </w:tblPr>
      <w:tblGrid>
        <w:gridCol w:w="1850"/>
        <w:gridCol w:w="3350"/>
        <w:gridCol w:w="4160"/>
      </w:tblGrid>
      <w:tr>
        <w:trPr>
          <w:tblHeader w:val="true"/>
          <w:cantSplit/>
        </w:trPr>
        <w:tc>
          <w:tcPr>
            <w:tcW w:type="dxa" w:w="1850"/>
            <w:shd w:fill="2E74B5"/>
            <w:vAlign w:val="center"/>
            <w:tcMar>
              <w:top w:w="72" w:type="dxa"/>
              <w:start w:w="100" w:type="dxa"/>
              <w:bottom w:w="72" w:type="dxa"/>
              <w:end w:w="100" w:type="dxa"/>
            </w:tcMar>
          </w:tcPr>
          <w:p>
            <w:pPr>
              <w:keepNext/>
              <w:spacing w:after="0"/>
            </w:pPr>
            <w:r>
              <w:rPr>
                <w:rFonts w:ascii="Calibri" w:hAnsi="Calibri"/>
                <w:b/>
                <w:color w:val="FFFFFF"/>
                <w:sz w:val="17"/>
              </w:rPr>
              <w:t>Feature</w:t>
            </w:r>
          </w:p>
        </w:tc>
        <w:tc>
          <w:tcPr>
            <w:tcW w:type="dxa" w:w="3350"/>
            <w:shd w:fill="2E74B5"/>
            <w:vAlign w:val="center"/>
            <w:tcMar>
              <w:top w:w="72" w:type="dxa"/>
              <w:start w:w="100" w:type="dxa"/>
              <w:bottom w:w="72" w:type="dxa"/>
              <w:end w:w="100" w:type="dxa"/>
            </w:tcMar>
          </w:tcPr>
          <w:p>
            <w:pPr>
              <w:keepNext/>
              <w:spacing w:after="0"/>
            </w:pPr>
            <w:r>
              <w:rPr>
                <w:rFonts w:ascii="Calibri" w:hAnsi="Calibri"/>
                <w:b/>
                <w:color w:val="FFFFFF"/>
                <w:sz w:val="17"/>
              </w:rPr>
              <w:t>Evidence</w:t>
            </w:r>
          </w:p>
        </w:tc>
        <w:tc>
          <w:tcPr>
            <w:tcW w:type="dxa" w:w="4160"/>
            <w:shd w:fill="2E74B5"/>
            <w:vAlign w:val="center"/>
            <w:tcMar>
              <w:top w:w="72" w:type="dxa"/>
              <w:start w:w="100" w:type="dxa"/>
              <w:bottom w:w="72" w:type="dxa"/>
              <w:end w:w="100" w:type="dxa"/>
            </w:tcMar>
          </w:tcPr>
          <w:p>
            <w:pPr>
              <w:keepNext/>
              <w:spacing w:after="0"/>
            </w:pPr>
            <w:r>
              <w:rPr>
                <w:rFonts w:ascii="Calibri" w:hAnsi="Calibri"/>
                <w:b/>
                <w:color w:val="FFFFFF"/>
                <w:sz w:val="17"/>
              </w:rPr>
              <w:t>Integrated conclusion</w:t>
            </w:r>
          </w:p>
        </w:tc>
      </w:tr>
      <w:tr>
        <w:trPr>
          <w:cantSplit/>
        </w:trPr>
        <w:tc>
          <w:tcPr>
            <w:tcW w:type="dxa" w:w="1850"/>
            <w:vAlign w:val="top"/>
            <w:tcMar>
              <w:top w:w="72" w:type="dxa"/>
              <w:start w:w="100" w:type="dxa"/>
              <w:bottom w:w="72" w:type="dxa"/>
              <w:end w:w="100" w:type="dxa"/>
            </w:tcMar>
          </w:tcPr>
          <w:p>
            <w:pPr>
              <w:spacing w:after="0"/>
            </w:pPr>
            <w:r>
              <w:rPr>
                <w:rFonts w:ascii="Calibri" w:hAnsi="Calibri"/>
                <w:b/>
                <w:color w:val="1F2937"/>
                <w:sz w:val="17"/>
              </w:rPr>
              <w:t>method x sigma</w:t>
            </w:r>
          </w:p>
        </w:tc>
        <w:tc>
          <w:tcPr>
            <w:tcW w:type="dxa" w:w="3350"/>
            <w:vAlign w:val="top"/>
            <w:tcMar>
              <w:top w:w="72" w:type="dxa"/>
              <w:start w:w="100" w:type="dxa"/>
              <w:bottom w:w="72" w:type="dxa"/>
              <w:end w:w="100" w:type="dxa"/>
            </w:tcMar>
          </w:tcPr>
          <w:p>
            <w:pPr>
              <w:spacing w:after="0"/>
            </w:pPr>
            <w:r>
              <w:rPr>
                <w:rFonts w:ascii="Calibri" w:hAnsi="Calibri"/>
                <w:color w:val="1F2937"/>
                <w:sz w:val="17"/>
              </w:rPr>
              <w:t>Largest interaction in Codes A and B; Code C-D sigma affects every pairwise gap</w:t>
            </w:r>
          </w:p>
        </w:tc>
        <w:tc>
          <w:tcPr>
            <w:tcW w:type="dxa" w:w="4160"/>
            <w:vAlign w:val="top"/>
            <w:tcMar>
              <w:top w:w="72" w:type="dxa"/>
              <w:start w:w="100" w:type="dxa"/>
              <w:bottom w:w="72" w:type="dxa"/>
              <w:end w:w="100" w:type="dxa"/>
            </w:tcMar>
          </w:tcPr>
          <w:p>
            <w:pPr>
              <w:spacing w:after="0"/>
            </w:pPr>
            <w:r>
              <w:rPr>
                <w:rFonts w:ascii="Calibri" w:hAnsi="Calibri"/>
                <w:color w:val="1F2937"/>
                <w:sz w:val="17"/>
              </w:rPr>
              <w:t>Primary source of rank and gap instability</w:t>
            </w:r>
          </w:p>
        </w:tc>
      </w:tr>
      <w:tr>
        <w:trPr>
          <w:cantSplit/>
        </w:trPr>
        <w:tc>
          <w:tcPr>
            <w:tcW w:type="dxa" w:w="1850"/>
            <w:shd w:fill="F5F9FC"/>
            <w:vAlign w:val="top"/>
            <w:tcMar>
              <w:top w:w="72" w:type="dxa"/>
              <w:start w:w="100" w:type="dxa"/>
              <w:bottom w:w="72" w:type="dxa"/>
              <w:end w:w="100" w:type="dxa"/>
            </w:tcMar>
          </w:tcPr>
          <w:p>
            <w:pPr>
              <w:spacing w:after="0"/>
            </w:pPr>
            <w:r>
              <w:rPr>
                <w:rFonts w:ascii="Calibri" w:hAnsi="Calibri"/>
                <w:b/>
                <w:color w:val="1F2937"/>
                <w:sz w:val="17"/>
              </w:rPr>
              <w:t>method x mean_nsamp</w:t>
            </w:r>
          </w:p>
        </w:tc>
        <w:tc>
          <w:tcPr>
            <w:tcW w:type="dxa" w:w="3350"/>
            <w:shd w:fill="F5F9FC"/>
            <w:vAlign w:val="top"/>
            <w:tcMar>
              <w:top w:w="72" w:type="dxa"/>
              <w:start w:w="100" w:type="dxa"/>
              <w:bottom w:w="72" w:type="dxa"/>
              <w:end w:w="100" w:type="dxa"/>
            </w:tcMar>
          </w:tcPr>
          <w:p>
            <w:pPr>
              <w:spacing w:after="0"/>
            </w:pPr>
            <w:r>
              <w:rPr>
                <w:rFonts w:ascii="Calibri" w:hAnsi="Calibri"/>
                <w:color w:val="1F2937"/>
                <w:sz w:val="17"/>
              </w:rPr>
              <w:t>Second-tier interaction in A and B; iv gains most for Linf as sample size rises</w:t>
            </w:r>
          </w:p>
        </w:tc>
        <w:tc>
          <w:tcPr>
            <w:tcW w:type="dxa" w:w="4160"/>
            <w:shd w:fill="F5F9FC"/>
            <w:vAlign w:val="top"/>
            <w:tcMar>
              <w:top w:w="72" w:type="dxa"/>
              <w:start w:w="100" w:type="dxa"/>
              <w:bottom w:w="72" w:type="dxa"/>
              <w:end w:w="100" w:type="dxa"/>
            </w:tcMar>
          </w:tcPr>
          <w:p>
            <w:pPr>
              <w:spacing w:after="0"/>
            </w:pPr>
            <w:r>
              <w:rPr>
                <w:rFonts w:ascii="Calibri" w:hAnsi="Calibri"/>
                <w:color w:val="1F2937"/>
                <w:sz w:val="17"/>
              </w:rPr>
              <w:t>Leading-method advantages may narrow in small samples</w:t>
            </w:r>
          </w:p>
        </w:tc>
      </w:tr>
      <w:tr>
        <w:trPr>
          <w:cantSplit/>
        </w:trPr>
        <w:tc>
          <w:tcPr>
            <w:tcW w:type="dxa" w:w="1850"/>
            <w:vAlign w:val="top"/>
            <w:tcMar>
              <w:top w:w="72" w:type="dxa"/>
              <w:start w:w="100" w:type="dxa"/>
              <w:bottom w:w="72" w:type="dxa"/>
              <w:end w:w="100" w:type="dxa"/>
            </w:tcMar>
          </w:tcPr>
          <w:p>
            <w:pPr>
              <w:spacing w:after="0"/>
            </w:pPr>
            <w:r>
              <w:rPr>
                <w:rFonts w:ascii="Calibri" w:hAnsi="Calibri"/>
                <w:b/>
                <w:color w:val="1F2937"/>
                <w:sz w:val="17"/>
              </w:rPr>
              <w:t>method x design_block</w:t>
            </w:r>
          </w:p>
        </w:tc>
        <w:tc>
          <w:tcPr>
            <w:tcW w:type="dxa" w:w="3350"/>
            <w:vAlign w:val="top"/>
            <w:tcMar>
              <w:top w:w="72" w:type="dxa"/>
              <w:start w:w="100" w:type="dxa"/>
              <w:bottom w:w="72" w:type="dxa"/>
              <w:end w:w="100" w:type="dxa"/>
            </w:tcMar>
          </w:tcPr>
          <w:p>
            <w:pPr>
              <w:spacing w:after="0"/>
            </w:pPr>
            <w:r>
              <w:rPr>
                <w:rFonts w:ascii="Calibri" w:hAnsi="Calibri"/>
                <w:color w:val="1F2937"/>
                <w:sz w:val="17"/>
              </w:rPr>
              <w:t>Significant in A and B; block is primary driver of v versus iv in C-D</w:t>
            </w:r>
          </w:p>
        </w:tc>
        <w:tc>
          <w:tcPr>
            <w:tcW w:type="dxa" w:w="4160"/>
            <w:vAlign w:val="top"/>
            <w:tcMar>
              <w:top w:w="72" w:type="dxa"/>
              <w:start w:w="100" w:type="dxa"/>
              <w:bottom w:w="72" w:type="dxa"/>
              <w:end w:w="100" w:type="dxa"/>
            </w:tcMar>
          </w:tcPr>
          <w:p>
            <w:pPr>
              <w:spacing w:after="0"/>
            </w:pPr>
            <w:r>
              <w:rPr>
                <w:rFonts w:ascii="Calibri" w:hAnsi="Calibri"/>
                <w:color w:val="1F2937"/>
                <w:sz w:val="17"/>
              </w:rPr>
              <w:t>Estimator performance depends on the sampling distribution</w:t>
            </w:r>
          </w:p>
        </w:tc>
      </w:tr>
      <w:tr>
        <w:trPr>
          <w:cantSplit/>
        </w:trPr>
        <w:tc>
          <w:tcPr>
            <w:tcW w:type="dxa" w:w="1850"/>
            <w:shd w:fill="F5F9FC"/>
            <w:vAlign w:val="top"/>
            <w:tcMar>
              <w:top w:w="72" w:type="dxa"/>
              <w:start w:w="100" w:type="dxa"/>
              <w:bottom w:w="72" w:type="dxa"/>
              <w:end w:w="100" w:type="dxa"/>
            </w:tcMar>
          </w:tcPr>
          <w:p>
            <w:pPr>
              <w:spacing w:after="0"/>
            </w:pPr>
            <w:r>
              <w:rPr>
                <w:rFonts w:ascii="Calibri" w:hAnsi="Calibri"/>
                <w:b/>
                <w:color w:val="1F2937"/>
                <w:sz w:val="17"/>
              </w:rPr>
              <w:t>method x G</w:t>
            </w:r>
          </w:p>
        </w:tc>
        <w:tc>
          <w:tcPr>
            <w:tcW w:type="dxa" w:w="3350"/>
            <w:shd w:fill="F5F9FC"/>
            <w:vAlign w:val="top"/>
            <w:tcMar>
              <w:top w:w="72" w:type="dxa"/>
              <w:start w:w="100" w:type="dxa"/>
              <w:bottom w:w="72" w:type="dxa"/>
              <w:end w:w="100" w:type="dxa"/>
            </w:tcMar>
          </w:tcPr>
          <w:p>
            <w:pPr>
              <w:spacing w:after="0"/>
            </w:pPr>
            <w:r>
              <w:rPr>
                <w:rFonts w:ascii="Calibri" w:hAnsi="Calibri"/>
                <w:color w:val="1F2937"/>
                <w:sz w:val="17"/>
              </w:rPr>
              <w:t>Significant but smaller; relative advantages are nonmonotone in A</w:t>
            </w:r>
          </w:p>
        </w:tc>
        <w:tc>
          <w:tcPr>
            <w:tcW w:type="dxa" w:w="4160"/>
            <w:shd w:fill="F5F9FC"/>
            <w:vAlign w:val="top"/>
            <w:tcMar>
              <w:top w:w="72" w:type="dxa"/>
              <w:start w:w="100" w:type="dxa"/>
              <w:bottom w:w="72" w:type="dxa"/>
              <w:end w:w="100" w:type="dxa"/>
            </w:tcMar>
          </w:tcPr>
          <w:p>
            <w:pPr>
              <w:spacing w:after="0"/>
            </w:pPr>
            <w:r>
              <w:rPr>
                <w:rFonts w:ascii="Calibri" w:hAnsi="Calibri"/>
                <w:color w:val="1F2937"/>
                <w:sz w:val="17"/>
              </w:rPr>
              <w:t>G changes both absolute error and method gaps</w:t>
            </w:r>
          </w:p>
        </w:tc>
      </w:tr>
      <w:tr>
        <w:trPr>
          <w:cantSplit/>
        </w:trPr>
        <w:tc>
          <w:tcPr>
            <w:tcW w:type="dxa" w:w="1850"/>
            <w:vAlign w:val="top"/>
            <w:tcMar>
              <w:top w:w="72" w:type="dxa"/>
              <w:start w:w="100" w:type="dxa"/>
              <w:bottom w:w="72" w:type="dxa"/>
              <w:end w:w="100" w:type="dxa"/>
            </w:tcMar>
          </w:tcPr>
          <w:p>
            <w:pPr>
              <w:spacing w:after="0"/>
            </w:pPr>
            <w:r>
              <w:rPr>
                <w:rFonts w:ascii="Calibri" w:hAnsi="Calibri"/>
                <w:b/>
                <w:color w:val="1F2937"/>
                <w:sz w:val="17"/>
              </w:rPr>
              <w:t>p1-p2 surface</w:t>
            </w:r>
          </w:p>
        </w:tc>
        <w:tc>
          <w:tcPr>
            <w:tcW w:type="dxa" w:w="3350"/>
            <w:vAlign w:val="top"/>
            <w:tcMar>
              <w:top w:w="72" w:type="dxa"/>
              <w:start w:w="100" w:type="dxa"/>
              <w:bottom w:w="72" w:type="dxa"/>
              <w:end w:w="100" w:type="dxa"/>
            </w:tcMar>
          </w:tcPr>
          <w:p>
            <w:pPr>
              <w:spacing w:after="0"/>
            </w:pPr>
            <w:r>
              <w:rPr>
                <w:rFonts w:ascii="Calibri" w:hAnsi="Calibri"/>
                <w:color w:val="1F2937"/>
                <w:sz w:val="17"/>
              </w:rPr>
              <w:t>All five Code E smooths significant; k-index 1.02</w:t>
            </w:r>
          </w:p>
        </w:tc>
        <w:tc>
          <w:tcPr>
            <w:tcW w:type="dxa" w:w="4160"/>
            <w:vAlign w:val="top"/>
            <w:tcMar>
              <w:top w:w="72" w:type="dxa"/>
              <w:start w:w="100" w:type="dxa"/>
              <w:bottom w:w="72" w:type="dxa"/>
              <w:end w:w="100" w:type="dxa"/>
            </w:tcMar>
          </w:tcPr>
          <w:p>
            <w:pPr>
              <w:spacing w:after="0"/>
            </w:pPr>
            <w:r>
              <w:rPr>
                <w:rFonts w:ascii="Calibri" w:hAnsi="Calibri"/>
                <w:color w:val="1F2937"/>
                <w:sz w:val="17"/>
              </w:rPr>
              <w:t>Linear tests miss a broad interior high-error region and lower-error boundary regions</w:t>
            </w:r>
          </w:p>
        </w:tc>
      </w:tr>
    </w:tbl>
    <w:p>
      <w:pPr>
        <w:spacing w:after="0"/>
      </w:pPr>
    </w:p>
    <w:p>
      <w:pPr>
        <w:keepLines w:val="0"/>
      </w:pPr>
      <w:r>
        <w:t>The GAM results provide the clearest explanation for the difference between linear and nonlinear composition effects. Codes A, B, and D find little evidence for separate linear p1 or p2 slopes, but Code E detects strongly structured two-dimensional surfaces for every method. Error is generally elevated in the simplex interior and lower toward portions of the boundary. Method iii has the strongest location sensitivity, methods iv and v are intermediate, and method ii has the flattest surface only because its fitted error level is elevated across the domain.</w:t>
      </w:r>
    </w:p>
    <w:p>
      <w:pPr>
        <w:pStyle w:val="Heading1"/>
      </w:pPr>
      <w:r>
        <w:t>4. Robustness, specialization, and hierarchical context</w:t>
      </w:r>
    </w:p>
    <w:p>
      <w:pPr>
        <w:keepLines w:val="0"/>
      </w:pPr>
      <w:r>
        <w:t>Method v is the strongest general-purpose candidate, but methods iii and iv exhibit meaningful specializations. Method iii is particularly competitive for L1 and is practically equivalent to v in the global matched analysis. Method iv is strongest for conditional RMSE and Linf in Code E and benefits most from increasing sample size in the Code A Linf model. Method v combines strong performance across all metrics with comparatively limited additional Linf degradation as sigma increases.</w:t>
      </w:r>
    </w:p>
    <w:p>
      <w:pPr>
        <w:keepLines w:val="0"/>
      </w:pPr>
      <w:r>
        <w:t>Method i is an intermediate fallback rather than a specialist with a demonstrated advantage over the leading methods. Method ii has a narrow conditional advantage over i for RMSE and Linf in Code B, but this does not constitute general robustness: ii is last in Codes A, C-D, and E, and its global errors are about one fifth larger than those of v. The i-versus-ii crossover is evidence that metric-specific reporting is necessary, not evidence that ii belongs to the leading class.</w:t>
      </w:r>
    </w:p>
    <w:p>
      <w:pPr>
        <w:keepLines w:val="0"/>
      </w:pPr>
      <w:r>
        <w:t>The Code B random intercept shows that simplex environments contribute meaningful shared variation. The estimated simplex variance was 0.0009451, compared with residual variance 0.0048181, giving an approximate model-scale variance ratio of 16.4%. This clustering validates the need to account for common simulation difficulty. It does not prove that method rankings are stable across simplexes because the model did not include random method slopes.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72" w:type="dxa"/>
              <w:start w:w="100" w:type="dxa"/>
              <w:bottom w:w="72" w:type="dxa"/>
              <w:end w:w="100" w:type="dxa"/>
            </w:tcMar>
            <w:shd w:fill="F3F4F6"/>
            <w:vAlign w:val="center"/>
          </w:tcPr>
          <w:p>
            <w:pPr>
              <w:keepLines/>
              <w:spacing w:after="0"/>
            </w:pPr>
            <w:r>
              <w:rPr>
                <w:rFonts w:ascii="Calibri" w:hAnsi="Calibri"/>
                <w:b/>
                <w:color w:val="1F4D78"/>
                <w:sz w:val="20"/>
              </w:rPr>
              <w:t xml:space="preserve">Robustness qualification. </w:t>
            </w:r>
            <w:r>
              <w:rPr>
                <w:rFonts w:ascii="Calibri" w:hAnsi="Calibri"/>
                <w:color w:val="1F2937"/>
                <w:sz w:val="20"/>
              </w:rPr>
              <w:t>No source analysis estimates multiplicity-adjusted method contrasts in every metric-by-sigma-by-G-by-sample-size-by-block cell. The integrated ranking describes average and representative-condition performance; it does not establish uniform dominance over the complete factorial design.</w:t>
            </w:r>
          </w:p>
        </w:tc>
      </w:tr>
    </w:tbl>
    <w:p>
      <w:pPr>
        <w:spacing w:after="0"/>
      </w:pPr>
    </w:p>
    <w:p>
      <w:pPr>
        <w:pStyle w:val="Heading1"/>
      </w:pPr>
      <w:r>
        <w:t>5. Model adequacy and proportion-specific diagnostics</w:t>
      </w:r>
    </w:p>
    <w:tbl>
      <w:tblPr>
        <w:tblStyle w:val="TableGrid"/>
        <w:tblW w:type="dxa" w:w="9360"/>
        <w:jc w:val="left"/>
        <w:tblLayout w:type="fixed"/>
        <w:tblLook w:firstColumn="1" w:firstRow="1" w:lastColumn="0" w:lastRow="0" w:noHBand="0" w:noVBand="1" w:val="04A0"/>
        <w:tblInd w:w="120" w:type="dxa"/>
      </w:tblPr>
      <w:tblGrid>
        <w:gridCol w:w="1900"/>
        <w:gridCol w:w="3590"/>
        <w:gridCol w:w="3870"/>
      </w:tblGrid>
      <w:tr>
        <w:trPr>
          <w:tblHeader w:val="true"/>
          <w:cantSplit/>
        </w:trPr>
        <w:tc>
          <w:tcPr>
            <w:tcW w:type="dxa" w:w="1900"/>
            <w:shd w:fill="2E74B5"/>
            <w:vAlign w:val="center"/>
            <w:tcMar>
              <w:top w:w="72" w:type="dxa"/>
              <w:start w:w="100" w:type="dxa"/>
              <w:bottom w:w="72" w:type="dxa"/>
              <w:end w:w="100" w:type="dxa"/>
            </w:tcMar>
          </w:tcPr>
          <w:p>
            <w:pPr>
              <w:keepNext/>
              <w:spacing w:after="0"/>
            </w:pPr>
            <w:r>
              <w:rPr>
                <w:rFonts w:ascii="Calibri" w:hAnsi="Calibri"/>
                <w:b/>
                <w:color w:val="FFFFFF"/>
                <w:sz w:val="16"/>
              </w:rPr>
              <w:t>Issue</w:t>
            </w:r>
          </w:p>
        </w:tc>
        <w:tc>
          <w:tcPr>
            <w:tcW w:type="dxa" w:w="3590"/>
            <w:shd w:fill="2E74B5"/>
            <w:vAlign w:val="center"/>
            <w:tcMar>
              <w:top w:w="72" w:type="dxa"/>
              <w:start w:w="100" w:type="dxa"/>
              <w:bottom w:w="72" w:type="dxa"/>
              <w:end w:w="100" w:type="dxa"/>
            </w:tcMar>
          </w:tcPr>
          <w:p>
            <w:pPr>
              <w:keepNext/>
              <w:spacing w:after="0"/>
            </w:pPr>
            <w:r>
              <w:rPr>
                <w:rFonts w:ascii="Calibri" w:hAnsi="Calibri"/>
                <w:b/>
                <w:color w:val="FFFFFF"/>
                <w:sz w:val="16"/>
              </w:rPr>
              <w:t>Evidence across reports</w:t>
            </w:r>
          </w:p>
        </w:tc>
        <w:tc>
          <w:tcPr>
            <w:tcW w:type="dxa" w:w="3870"/>
            <w:shd w:fill="2E74B5"/>
            <w:vAlign w:val="center"/>
            <w:tcMar>
              <w:top w:w="72" w:type="dxa"/>
              <w:start w:w="100" w:type="dxa"/>
              <w:bottom w:w="72" w:type="dxa"/>
              <w:end w:w="100" w:type="dxa"/>
            </w:tcMar>
          </w:tcPr>
          <w:p>
            <w:pPr>
              <w:keepNext/>
              <w:spacing w:after="0"/>
            </w:pPr>
            <w:r>
              <w:rPr>
                <w:rFonts w:ascii="Calibri" w:hAnsi="Calibri"/>
                <w:b/>
                <w:color w:val="FFFFFF"/>
                <w:sz w:val="16"/>
              </w:rPr>
              <w:t>Consequence</w:t>
            </w:r>
          </w:p>
        </w:tc>
      </w:tr>
      <w:tr>
        <w:trPr>
          <w:cantSplit/>
        </w:trPr>
        <w:tc>
          <w:tcPr>
            <w:tcW w:type="dxa" w:w="1900"/>
            <w:vAlign w:val="top"/>
            <w:tcMar>
              <w:top w:w="72" w:type="dxa"/>
              <w:start w:w="100" w:type="dxa"/>
              <w:bottom w:w="72" w:type="dxa"/>
              <w:end w:w="100" w:type="dxa"/>
            </w:tcMar>
          </w:tcPr>
          <w:p>
            <w:pPr>
              <w:spacing w:after="0"/>
            </w:pPr>
            <w:r>
              <w:rPr>
                <w:rFonts w:ascii="Calibri" w:hAnsi="Calibri"/>
                <w:b/>
                <w:color w:val="1F2937"/>
                <w:sz w:val="16"/>
              </w:rPr>
              <w:t>Very large sample sizes</w:t>
            </w:r>
          </w:p>
        </w:tc>
        <w:tc>
          <w:tcPr>
            <w:tcW w:type="dxa" w:w="3590"/>
            <w:vAlign w:val="top"/>
            <w:tcMar>
              <w:top w:w="72" w:type="dxa"/>
              <w:start w:w="100" w:type="dxa"/>
              <w:bottom w:w="72" w:type="dxa"/>
              <w:end w:w="100" w:type="dxa"/>
            </w:tcMar>
          </w:tcPr>
          <w:p>
            <w:pPr>
              <w:spacing w:after="0"/>
            </w:pPr>
            <w:r>
              <w:rPr>
                <w:rFonts w:ascii="Calibri" w:hAnsi="Calibri"/>
                <w:color w:val="1F2937"/>
                <w:sz w:val="16"/>
              </w:rPr>
              <w:t>Most fixed effects have extremely small p-values</w:t>
            </w:r>
          </w:p>
        </w:tc>
        <w:tc>
          <w:tcPr>
            <w:tcW w:type="dxa" w:w="3870"/>
            <w:vAlign w:val="top"/>
            <w:tcMar>
              <w:top w:w="72" w:type="dxa"/>
              <w:start w:w="100" w:type="dxa"/>
              <w:bottom w:w="72" w:type="dxa"/>
              <w:end w:w="100" w:type="dxa"/>
            </w:tcMar>
          </w:tcPr>
          <w:p>
            <w:pPr>
              <w:spacing w:after="0"/>
            </w:pPr>
            <w:r>
              <w:rPr>
                <w:rFonts w:ascii="Calibri" w:hAnsi="Calibri"/>
                <w:color w:val="1F2937"/>
                <w:sz w:val="16"/>
              </w:rPr>
              <w:t>Effect sizes and raw or ratio differences should drive practical interpretation</w:t>
            </w:r>
          </w:p>
        </w:tc>
      </w:tr>
      <w:tr>
        <w:trPr>
          <w:cantSplit/>
        </w:trPr>
        <w:tc>
          <w:tcPr>
            <w:tcW w:type="dxa" w:w="1900"/>
            <w:shd w:fill="F5F9FC"/>
            <w:vAlign w:val="top"/>
            <w:tcMar>
              <w:top w:w="72" w:type="dxa"/>
              <w:start w:w="100" w:type="dxa"/>
              <w:bottom w:w="72" w:type="dxa"/>
              <w:end w:w="100" w:type="dxa"/>
            </w:tcMar>
          </w:tcPr>
          <w:p>
            <w:pPr>
              <w:spacing w:after="0"/>
            </w:pPr>
            <w:r>
              <w:rPr>
                <w:rFonts w:ascii="Calibri" w:hAnsi="Calibri"/>
                <w:b/>
                <w:color w:val="1F2937"/>
                <w:sz w:val="16"/>
              </w:rPr>
              <w:t>Heteroscedasticity and heavy tails</w:t>
            </w:r>
          </w:p>
        </w:tc>
        <w:tc>
          <w:tcPr>
            <w:tcW w:type="dxa" w:w="3590"/>
            <w:shd w:fill="F5F9FC"/>
            <w:vAlign w:val="top"/>
            <w:tcMar>
              <w:top w:w="72" w:type="dxa"/>
              <w:start w:w="100" w:type="dxa"/>
              <w:bottom w:w="72" w:type="dxa"/>
              <w:end w:w="100" w:type="dxa"/>
            </w:tcMar>
          </w:tcPr>
          <w:p>
            <w:pPr>
              <w:spacing w:after="0"/>
            </w:pPr>
            <w:r>
              <w:rPr>
                <w:rFonts w:ascii="Calibri" w:hAnsi="Calibri"/>
                <w:color w:val="1F2937"/>
                <w:sz w:val="16"/>
              </w:rPr>
              <w:t>Code E residual plots show fan shapes, right skew, and outliers</w:t>
            </w:r>
          </w:p>
        </w:tc>
        <w:tc>
          <w:tcPr>
            <w:tcW w:type="dxa" w:w="3870"/>
            <w:shd w:fill="F5F9FC"/>
            <w:vAlign w:val="top"/>
            <w:tcMar>
              <w:top w:w="72" w:type="dxa"/>
              <w:start w:w="100" w:type="dxa"/>
              <w:bottom w:w="72" w:type="dxa"/>
              <w:end w:w="100" w:type="dxa"/>
            </w:tcMar>
          </w:tcPr>
          <w:p>
            <w:pPr>
              <w:spacing w:after="0"/>
            </w:pPr>
            <w:r>
              <w:rPr>
                <w:rFonts w:ascii="Calibri" w:hAnsi="Calibri"/>
                <w:color w:val="1F2937"/>
                <w:sz w:val="16"/>
              </w:rPr>
              <w:t>Gaussian standard errors and tail probabilities may be optimistic</w:t>
            </w:r>
          </w:p>
        </w:tc>
      </w:tr>
      <w:tr>
        <w:trPr>
          <w:cantSplit/>
        </w:trPr>
        <w:tc>
          <w:tcPr>
            <w:tcW w:type="dxa" w:w="1900"/>
            <w:vAlign w:val="top"/>
            <w:tcMar>
              <w:top w:w="72" w:type="dxa"/>
              <w:start w:w="100" w:type="dxa"/>
              <w:bottom w:w="72" w:type="dxa"/>
              <w:end w:w="100" w:type="dxa"/>
            </w:tcMar>
          </w:tcPr>
          <w:p>
            <w:pPr>
              <w:spacing w:after="0"/>
            </w:pPr>
            <w:r>
              <w:rPr>
                <w:rFonts w:ascii="Calibri" w:hAnsi="Calibri"/>
                <w:b/>
                <w:color w:val="1F2937"/>
                <w:sz w:val="16"/>
              </w:rPr>
              <w:t>Bounded simplex</w:t>
            </w:r>
          </w:p>
        </w:tc>
        <w:tc>
          <w:tcPr>
            <w:tcW w:type="dxa" w:w="3590"/>
            <w:vAlign w:val="top"/>
            <w:tcMar>
              <w:top w:w="72" w:type="dxa"/>
              <w:start w:w="100" w:type="dxa"/>
              <w:bottom w:w="72" w:type="dxa"/>
              <w:end w:w="100" w:type="dxa"/>
            </w:tcMar>
          </w:tcPr>
          <w:p>
            <w:pPr>
              <w:spacing w:after="0"/>
            </w:pPr>
            <w:r>
              <w:rPr>
                <w:rFonts w:ascii="Calibri" w:hAnsi="Calibri"/>
                <w:color w:val="1F2937"/>
                <w:sz w:val="16"/>
              </w:rPr>
              <w:t>Components lie in [0,1] and sum to one</w:t>
            </w:r>
          </w:p>
        </w:tc>
        <w:tc>
          <w:tcPr>
            <w:tcW w:type="dxa" w:w="3870"/>
            <w:vAlign w:val="top"/>
            <w:tcMar>
              <w:top w:w="72" w:type="dxa"/>
              <w:start w:w="100" w:type="dxa"/>
              <w:bottom w:w="72" w:type="dxa"/>
              <w:end w:w="100" w:type="dxa"/>
            </w:tcMar>
          </w:tcPr>
          <w:p>
            <w:pPr>
              <w:spacing w:after="0"/>
            </w:pPr>
            <w:r>
              <w:rPr>
                <w:rFonts w:ascii="Calibri" w:hAnsi="Calibri"/>
                <w:color w:val="1F2937"/>
                <w:sz w:val="16"/>
              </w:rPr>
              <w:t>Component errors are dependent and variance changes near boundaries</w:t>
            </w:r>
          </w:p>
        </w:tc>
      </w:tr>
      <w:tr>
        <w:trPr>
          <w:cantSplit/>
        </w:trPr>
        <w:tc>
          <w:tcPr>
            <w:tcW w:type="dxa" w:w="1900"/>
            <w:shd w:fill="F5F9FC"/>
            <w:vAlign w:val="top"/>
            <w:tcMar>
              <w:top w:w="72" w:type="dxa"/>
              <w:start w:w="100" w:type="dxa"/>
              <w:bottom w:w="72" w:type="dxa"/>
              <w:end w:w="100" w:type="dxa"/>
            </w:tcMar>
          </w:tcPr>
          <w:p>
            <w:pPr>
              <w:spacing w:after="0"/>
            </w:pPr>
            <w:r>
              <w:rPr>
                <w:rFonts w:ascii="Calibri" w:hAnsi="Calibri"/>
                <w:b/>
                <w:color w:val="1F2937"/>
                <w:sz w:val="16"/>
              </w:rPr>
              <w:t>Metric redundancy</w:t>
            </w:r>
          </w:p>
        </w:tc>
        <w:tc>
          <w:tcPr>
            <w:tcW w:type="dxa" w:w="3590"/>
            <w:shd w:fill="F5F9FC"/>
            <w:vAlign w:val="top"/>
            <w:tcMar>
              <w:top w:w="72" w:type="dxa"/>
              <w:start w:w="100" w:type="dxa"/>
              <w:bottom w:w="72" w:type="dxa"/>
              <w:end w:w="100" w:type="dxa"/>
            </w:tcMar>
          </w:tcPr>
          <w:p>
            <w:pPr>
              <w:spacing w:after="0"/>
            </w:pPr>
            <w:r>
              <w:rPr>
                <w:rFonts w:ascii="Calibri" w:hAnsi="Calibri"/>
                <w:color w:val="1F2937"/>
                <w:sz w:val="16"/>
              </w:rPr>
              <w:t>For three components, L1 = 2 x Linf before transformation</w:t>
            </w:r>
          </w:p>
        </w:tc>
        <w:tc>
          <w:tcPr>
            <w:tcW w:type="dxa" w:w="3870"/>
            <w:shd w:fill="F5F9FC"/>
            <w:vAlign w:val="top"/>
            <w:tcMar>
              <w:top w:w="72" w:type="dxa"/>
              <w:start w:w="100" w:type="dxa"/>
              <w:bottom w:w="72" w:type="dxa"/>
              <w:end w:w="100" w:type="dxa"/>
            </w:tcMar>
          </w:tcPr>
          <w:p>
            <w:pPr>
              <w:spacing w:after="0"/>
            </w:pPr>
            <w:r>
              <w:rPr>
                <w:rFonts w:ascii="Calibri" w:hAnsi="Calibri"/>
                <w:color w:val="1F2937"/>
                <w:sz w:val="16"/>
              </w:rPr>
              <w:t>L1 and Linf are not independent replications</w:t>
            </w:r>
          </w:p>
        </w:tc>
      </w:tr>
      <w:tr>
        <w:trPr>
          <w:cantSplit/>
        </w:trPr>
        <w:tc>
          <w:tcPr>
            <w:tcW w:type="dxa" w:w="1900"/>
            <w:vAlign w:val="top"/>
            <w:tcMar>
              <w:top w:w="72" w:type="dxa"/>
              <w:start w:w="100" w:type="dxa"/>
              <w:bottom w:w="72" w:type="dxa"/>
              <w:end w:w="100" w:type="dxa"/>
            </w:tcMar>
          </w:tcPr>
          <w:p>
            <w:pPr>
              <w:spacing w:after="0"/>
            </w:pPr>
            <w:r>
              <w:rPr>
                <w:rFonts w:ascii="Calibri" w:hAnsi="Calibri"/>
                <w:b/>
                <w:color w:val="1F2937"/>
                <w:sz w:val="16"/>
              </w:rPr>
              <w:t>Transformation differences</w:t>
            </w:r>
          </w:p>
        </w:tc>
        <w:tc>
          <w:tcPr>
            <w:tcW w:type="dxa" w:w="3590"/>
            <w:vAlign w:val="top"/>
            <w:tcMar>
              <w:top w:w="72" w:type="dxa"/>
              <w:start w:w="100" w:type="dxa"/>
              <w:bottom w:w="72" w:type="dxa"/>
              <w:end w:w="100" w:type="dxa"/>
            </w:tcMar>
          </w:tcPr>
          <w:p>
            <w:pPr>
              <w:spacing w:after="0"/>
            </w:pPr>
            <w:r>
              <w:rPr>
                <w:rFonts w:ascii="Calibri" w:hAnsi="Calibri"/>
                <w:color w:val="1F2937"/>
                <w:sz w:val="16"/>
              </w:rPr>
              <w:t>Codes A/B/E use log1p error; C-D uses matched log differences</w:t>
            </w:r>
          </w:p>
        </w:tc>
        <w:tc>
          <w:tcPr>
            <w:tcW w:type="dxa" w:w="3870"/>
            <w:vAlign w:val="top"/>
            <w:tcMar>
              <w:top w:w="72" w:type="dxa"/>
              <w:start w:w="100" w:type="dxa"/>
              <w:bottom w:w="72" w:type="dxa"/>
              <w:end w:w="100" w:type="dxa"/>
            </w:tcMar>
          </w:tcPr>
          <w:p>
            <w:pPr>
              <w:spacing w:after="0"/>
            </w:pPr>
            <w:r>
              <w:rPr>
                <w:rFonts w:ascii="Calibri" w:hAnsi="Calibri"/>
                <w:color w:val="1F2937"/>
                <w:sz w:val="16"/>
              </w:rPr>
              <w:t>Numerical coefficients are not directly interchangeable across reports</w:t>
            </w:r>
          </w:p>
        </w:tc>
      </w:tr>
      <w:tr>
        <w:trPr>
          <w:cantSplit/>
        </w:trPr>
        <w:tc>
          <w:tcPr>
            <w:tcW w:type="dxa" w:w="1900"/>
            <w:shd w:fill="F5F9FC"/>
            <w:vAlign w:val="top"/>
            <w:tcMar>
              <w:top w:w="72" w:type="dxa"/>
              <w:start w:w="100" w:type="dxa"/>
              <w:bottom w:w="72" w:type="dxa"/>
              <w:end w:w="100" w:type="dxa"/>
            </w:tcMar>
          </w:tcPr>
          <w:p>
            <w:pPr>
              <w:spacing w:after="0"/>
            </w:pPr>
            <w:r>
              <w:rPr>
                <w:rFonts w:ascii="Calibri" w:hAnsi="Calibri"/>
                <w:b/>
                <w:color w:val="1F2937"/>
                <w:sz w:val="16"/>
              </w:rPr>
              <w:t>Conditional reference settings</w:t>
            </w:r>
          </w:p>
        </w:tc>
        <w:tc>
          <w:tcPr>
            <w:tcW w:type="dxa" w:w="3590"/>
            <w:shd w:fill="F5F9FC"/>
            <w:vAlign w:val="top"/>
            <w:tcMar>
              <w:top w:w="72" w:type="dxa"/>
              <w:start w:w="100" w:type="dxa"/>
              <w:bottom w:w="72" w:type="dxa"/>
              <w:end w:w="100" w:type="dxa"/>
            </w:tcMar>
          </w:tcPr>
          <w:p>
            <w:pPr>
              <w:spacing w:after="0"/>
            </w:pPr>
            <w:r>
              <w:rPr>
                <w:rFonts w:ascii="Calibri" w:hAnsi="Calibri"/>
                <w:color w:val="1F2937"/>
                <w:sz w:val="16"/>
              </w:rPr>
              <w:t>Codes A and B use different factor combinations</w:t>
            </w:r>
          </w:p>
        </w:tc>
        <w:tc>
          <w:tcPr>
            <w:tcW w:type="dxa" w:w="3870"/>
            <w:shd w:fill="F5F9FC"/>
            <w:vAlign w:val="top"/>
            <w:tcMar>
              <w:top w:w="72" w:type="dxa"/>
              <w:start w:w="100" w:type="dxa"/>
              <w:bottom w:w="72" w:type="dxa"/>
              <w:end w:w="100" w:type="dxa"/>
            </w:tcMar>
          </w:tcPr>
          <w:p>
            <w:pPr>
              <w:spacing w:after="0"/>
            </w:pPr>
            <w:r>
              <w:rPr>
                <w:rFonts w:ascii="Calibri" w:hAnsi="Calibri"/>
                <w:color w:val="1F2937"/>
                <w:sz w:val="16"/>
              </w:rPr>
              <w:t>Top-three rank changes can reflect genuine interactions</w:t>
            </w:r>
          </w:p>
        </w:tc>
      </w:tr>
      <w:tr>
        <w:trPr>
          <w:cantSplit/>
        </w:trPr>
        <w:tc>
          <w:tcPr>
            <w:tcW w:type="dxa" w:w="1900"/>
            <w:vAlign w:val="top"/>
            <w:tcMar>
              <w:top w:w="72" w:type="dxa"/>
              <w:start w:w="100" w:type="dxa"/>
              <w:bottom w:w="72" w:type="dxa"/>
              <w:end w:w="100" w:type="dxa"/>
            </w:tcMar>
          </w:tcPr>
          <w:p>
            <w:pPr>
              <w:spacing w:after="0"/>
            </w:pPr>
            <w:r>
              <w:rPr>
                <w:rFonts w:ascii="Calibri" w:hAnsi="Calibri"/>
                <w:b/>
                <w:color w:val="1F2937"/>
                <w:sz w:val="16"/>
              </w:rPr>
              <w:t>Code E unsigned gap</w:t>
            </w:r>
          </w:p>
        </w:tc>
        <w:tc>
          <w:tcPr>
            <w:tcW w:type="dxa" w:w="3590"/>
            <w:vAlign w:val="top"/>
            <w:tcMar>
              <w:top w:w="72" w:type="dxa"/>
              <w:start w:w="100" w:type="dxa"/>
              <w:bottom w:w="72" w:type="dxa"/>
              <w:end w:w="100" w:type="dxa"/>
            </w:tcMar>
          </w:tcPr>
          <w:p>
            <w:pPr>
              <w:spacing w:after="0"/>
            </w:pPr>
            <w:r>
              <w:rPr>
                <w:rFonts w:ascii="Calibri" w:hAnsi="Calibri"/>
                <w:color w:val="1F2937"/>
                <w:sz w:val="16"/>
              </w:rPr>
              <w:t>Response is log1p(abs(error_v - error_iii))</w:t>
            </w:r>
          </w:p>
        </w:tc>
        <w:tc>
          <w:tcPr>
            <w:tcW w:type="dxa" w:w="3870"/>
            <w:vAlign w:val="top"/>
            <w:tcMar>
              <w:top w:w="72" w:type="dxa"/>
              <w:start w:w="100" w:type="dxa"/>
              <w:bottom w:w="72" w:type="dxa"/>
              <w:end w:w="100" w:type="dxa"/>
            </w:tcMar>
          </w:tcPr>
          <w:p>
            <w:pPr>
              <w:spacing w:after="0"/>
            </w:pPr>
            <w:r>
              <w:rPr>
                <w:rFonts w:ascii="Calibri" w:hAnsi="Calibri"/>
                <w:color w:val="1F2937"/>
                <w:sz w:val="16"/>
              </w:rPr>
              <w:t>Gap surfaces cannot reveal whether v or iii is locally better</w:t>
            </w:r>
          </w:p>
        </w:tc>
      </w:tr>
    </w:tbl>
    <w:p>
      <w:pPr>
        <w:spacing w:after="0"/>
      </w:pPr>
    </w:p>
    <w:p>
      <w:pPr>
        <w:keepLines w:val="0"/>
      </w:pPr>
      <w:r>
        <w:t>The log transformations reduce skew but do not solve the simplex geometry or mean-variance relationship. Arcsine-square-root and logit transformations are relevant to individual proportions, not directly to RMSE, L1, or Linf. For component-level analysis, isometric log-ratio coordinates are preferable. For nonnegative scalar errors, Gamma-log, Tweedie, robust, or two-part models should be considered, with bootstrap or random-slope uncertainty at the simplex or example level.</w:t>
      </w:r>
    </w:p>
    <w:p>
      <w:pPr>
        <w:keepLines w:val="0"/>
      </w:pPr>
      <w:r>
        <w:t>The Code E basis checks are reassuring: k = 30 is adequate, with global k-index 1.02 and gap-model k-index 0.98. Basis adequacy does not validate the Gaussian likelihood, however. The residual diagnostics show that revised uncertainty estimates are warranted even though the fitted smooth morphology is useful descriptively.</w:t>
      </w:r>
    </w:p>
    <w:p>
      <w:pPr>
        <w:pStyle w:val="Heading1"/>
      </w:pPr>
      <w:r>
        <w:t>6. Overall assessment and recommended ranking</w:t>
      </w:r>
    </w:p>
    <w:tbl>
      <w:tblPr>
        <w:tblStyle w:val="TableGrid"/>
        <w:tblW w:type="dxa" w:w="9360"/>
        <w:jc w:val="left"/>
        <w:tblLayout w:type="fixed"/>
        <w:tblLook w:firstColumn="1" w:firstRow="1" w:lastColumn="0" w:lastRow="0" w:noHBand="0" w:noVBand="1" w:val="04A0"/>
        <w:tblInd w:w="120" w:type="dxa"/>
      </w:tblPr>
      <w:tblGrid>
        <w:gridCol w:w="2600"/>
        <w:gridCol w:w="2850"/>
        <w:gridCol w:w="3910"/>
      </w:tblGrid>
      <w:tr>
        <w:trPr>
          <w:tblHeader w:val="true"/>
          <w:cantSplit/>
        </w:trPr>
        <w:tc>
          <w:tcPr>
            <w:tcW w:type="dxa" w:w="2600"/>
            <w:shd w:fill="2E74B5"/>
            <w:vAlign w:val="center"/>
            <w:tcMar>
              <w:top w:w="72" w:type="dxa"/>
              <w:start w:w="100" w:type="dxa"/>
              <w:bottom w:w="72" w:type="dxa"/>
              <w:end w:w="100" w:type="dxa"/>
            </w:tcMar>
          </w:tcPr>
          <w:p>
            <w:pPr>
              <w:keepNext/>
              <w:spacing w:after="0"/>
            </w:pPr>
            <w:r>
              <w:rPr>
                <w:rFonts w:ascii="Calibri" w:hAnsi="Calibri"/>
                <w:b/>
                <w:color w:val="FFFFFF"/>
                <w:sz w:val="16"/>
              </w:rPr>
              <w:t>Question</w:t>
            </w:r>
          </w:p>
        </w:tc>
        <w:tc>
          <w:tcPr>
            <w:tcW w:type="dxa" w:w="2850"/>
            <w:shd w:fill="2E74B5"/>
            <w:vAlign w:val="center"/>
            <w:tcMar>
              <w:top w:w="72" w:type="dxa"/>
              <w:start w:w="100" w:type="dxa"/>
              <w:bottom w:w="72" w:type="dxa"/>
              <w:end w:w="100" w:type="dxa"/>
            </w:tcMar>
          </w:tcPr>
          <w:p>
            <w:pPr>
              <w:keepNext/>
              <w:spacing w:after="0"/>
            </w:pPr>
            <w:r>
              <w:rPr>
                <w:rFonts w:ascii="Calibri" w:hAnsi="Calibri"/>
                <w:b/>
                <w:color w:val="FFFFFF"/>
                <w:sz w:val="16"/>
              </w:rPr>
              <w:t>Best-supported conclusion</w:t>
            </w:r>
          </w:p>
        </w:tc>
        <w:tc>
          <w:tcPr>
            <w:tcW w:type="dxa" w:w="3910"/>
            <w:shd w:fill="2E74B5"/>
            <w:vAlign w:val="center"/>
            <w:tcMar>
              <w:top w:w="72" w:type="dxa"/>
              <w:start w:w="100" w:type="dxa"/>
              <w:bottom w:w="72" w:type="dxa"/>
              <w:end w:w="100" w:type="dxa"/>
            </w:tcMar>
          </w:tcPr>
          <w:p>
            <w:pPr>
              <w:keepNext/>
              <w:spacing w:after="0"/>
            </w:pPr>
            <w:r>
              <w:rPr>
                <w:rFonts w:ascii="Calibri" w:hAnsi="Calibri"/>
                <w:b/>
                <w:color w:val="FFFFFF"/>
                <w:sz w:val="16"/>
              </w:rPr>
              <w:t>Key evidence</w:t>
            </w:r>
          </w:p>
        </w:tc>
      </w:tr>
      <w:tr>
        <w:trPr>
          <w:cantSplit/>
        </w:trPr>
        <w:tc>
          <w:tcPr>
            <w:tcW w:type="dxa" w:w="2600"/>
            <w:vAlign w:val="top"/>
            <w:tcMar>
              <w:top w:w="72" w:type="dxa"/>
              <w:start w:w="100" w:type="dxa"/>
              <w:bottom w:w="72" w:type="dxa"/>
              <w:end w:w="100" w:type="dxa"/>
            </w:tcMar>
          </w:tcPr>
          <w:p>
            <w:pPr>
              <w:spacing w:after="0"/>
            </w:pPr>
            <w:r>
              <w:rPr>
                <w:rFonts w:ascii="Calibri" w:hAnsi="Calibri"/>
                <w:b/>
                <w:color w:val="1F2937"/>
                <w:sz w:val="16"/>
              </w:rPr>
              <w:t>Which method should be the default?</w:t>
            </w:r>
          </w:p>
        </w:tc>
        <w:tc>
          <w:tcPr>
            <w:tcW w:type="dxa" w:w="2850"/>
            <w:vAlign w:val="top"/>
            <w:tcMar>
              <w:top w:w="72" w:type="dxa"/>
              <w:start w:w="100" w:type="dxa"/>
              <w:bottom w:w="72" w:type="dxa"/>
              <w:end w:w="100" w:type="dxa"/>
            </w:tcMar>
          </w:tcPr>
          <w:p>
            <w:pPr>
              <w:spacing w:after="0"/>
            </w:pPr>
            <w:r>
              <w:rPr>
                <w:rFonts w:ascii="Calibri" w:hAnsi="Calibri"/>
                <w:color w:val="1F2937"/>
                <w:sz w:val="16"/>
              </w:rPr>
              <w:t>Method v</w:t>
            </w:r>
          </w:p>
        </w:tc>
        <w:tc>
          <w:tcPr>
            <w:tcW w:type="dxa" w:w="3910"/>
            <w:vAlign w:val="top"/>
            <w:tcMar>
              <w:top w:w="72" w:type="dxa"/>
              <w:start w:w="100" w:type="dxa"/>
              <w:bottom w:w="72" w:type="dxa"/>
              <w:end w:w="100" w:type="dxa"/>
            </w:tcMar>
          </w:tcPr>
          <w:p>
            <w:pPr>
              <w:spacing w:after="0"/>
            </w:pPr>
            <w:r>
              <w:rPr>
                <w:rFonts w:ascii="Calibri" w:hAnsi="Calibri"/>
                <w:color w:val="1F2937"/>
                <w:sz w:val="16"/>
              </w:rPr>
              <w:t>Lowest global geometric mean error and Code A all-metric leader</w:t>
            </w:r>
          </w:p>
        </w:tc>
      </w:tr>
      <w:tr>
        <w:trPr>
          <w:cantSplit/>
        </w:trPr>
        <w:tc>
          <w:tcPr>
            <w:tcW w:type="dxa" w:w="2600"/>
            <w:shd w:fill="F5F9FC"/>
            <w:vAlign w:val="top"/>
            <w:tcMar>
              <w:top w:w="72" w:type="dxa"/>
              <w:start w:w="100" w:type="dxa"/>
              <w:bottom w:w="72" w:type="dxa"/>
              <w:end w:w="100" w:type="dxa"/>
            </w:tcMar>
          </w:tcPr>
          <w:p>
            <w:pPr>
              <w:spacing w:after="0"/>
            </w:pPr>
            <w:r>
              <w:rPr>
                <w:rFonts w:ascii="Calibri" w:hAnsi="Calibri"/>
                <w:b/>
                <w:color w:val="1F2937"/>
                <w:sz w:val="16"/>
              </w:rPr>
              <w:t>Which method is practically equivalent?</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6"/>
              </w:rPr>
              <w:t>Method iii</w:t>
            </w:r>
          </w:p>
        </w:tc>
        <w:tc>
          <w:tcPr>
            <w:tcW w:type="dxa" w:w="3910"/>
            <w:shd w:fill="F5F9FC"/>
            <w:vAlign w:val="top"/>
            <w:tcMar>
              <w:top w:w="72" w:type="dxa"/>
              <w:start w:w="100" w:type="dxa"/>
              <w:bottom w:w="72" w:type="dxa"/>
              <w:end w:w="100" w:type="dxa"/>
            </w:tcMar>
          </w:tcPr>
          <w:p>
            <w:pPr>
              <w:spacing w:after="0"/>
            </w:pPr>
            <w:r>
              <w:rPr>
                <w:rFonts w:ascii="Calibri" w:hAnsi="Calibri"/>
                <w:color w:val="1F2937"/>
                <w:sz w:val="16"/>
              </w:rPr>
              <w:t>Only 0.11-0.16% worse globally; leads or ties in B and L1 in E</w:t>
            </w:r>
          </w:p>
        </w:tc>
      </w:tr>
      <w:tr>
        <w:trPr>
          <w:cantSplit/>
        </w:trPr>
        <w:tc>
          <w:tcPr>
            <w:tcW w:type="dxa" w:w="2600"/>
            <w:vAlign w:val="top"/>
            <w:tcMar>
              <w:top w:w="72" w:type="dxa"/>
              <w:start w:w="100" w:type="dxa"/>
              <w:bottom w:w="72" w:type="dxa"/>
              <w:end w:w="100" w:type="dxa"/>
            </w:tcMar>
          </w:tcPr>
          <w:p>
            <w:pPr>
              <w:spacing w:after="0"/>
            </w:pPr>
            <w:r>
              <w:rPr>
                <w:rFonts w:ascii="Calibri" w:hAnsi="Calibri"/>
                <w:b/>
                <w:color w:val="1F2937"/>
                <w:sz w:val="16"/>
              </w:rPr>
              <w:t>Which method is the strongest specialized alternative?</w:t>
            </w:r>
          </w:p>
        </w:tc>
        <w:tc>
          <w:tcPr>
            <w:tcW w:type="dxa" w:w="2850"/>
            <w:vAlign w:val="top"/>
            <w:tcMar>
              <w:top w:w="72" w:type="dxa"/>
              <w:start w:w="100" w:type="dxa"/>
              <w:bottom w:w="72" w:type="dxa"/>
              <w:end w:w="100" w:type="dxa"/>
            </w:tcMar>
          </w:tcPr>
          <w:p>
            <w:pPr>
              <w:spacing w:after="0"/>
            </w:pPr>
            <w:r>
              <w:rPr>
                <w:rFonts w:ascii="Calibri" w:hAnsi="Calibri"/>
                <w:color w:val="1F2937"/>
                <w:sz w:val="16"/>
              </w:rPr>
              <w:t>Method iv</w:t>
            </w:r>
          </w:p>
        </w:tc>
        <w:tc>
          <w:tcPr>
            <w:tcW w:type="dxa" w:w="3910"/>
            <w:vAlign w:val="top"/>
            <w:tcMar>
              <w:top w:w="72" w:type="dxa"/>
              <w:start w:w="100" w:type="dxa"/>
              <w:bottom w:w="72" w:type="dxa"/>
              <w:end w:w="100" w:type="dxa"/>
            </w:tcMar>
          </w:tcPr>
          <w:p>
            <w:pPr>
              <w:spacing w:after="0"/>
            </w:pPr>
            <w:r>
              <w:rPr>
                <w:rFonts w:ascii="Calibri" w:hAnsi="Calibri"/>
                <w:color w:val="1F2937"/>
                <w:sz w:val="16"/>
              </w:rPr>
              <w:t>Conditional RMSE/Linf leader in E and co-leader in B</w:t>
            </w:r>
          </w:p>
        </w:tc>
      </w:tr>
      <w:tr>
        <w:trPr>
          <w:cantSplit/>
        </w:trPr>
        <w:tc>
          <w:tcPr>
            <w:tcW w:type="dxa" w:w="2600"/>
            <w:shd w:fill="F5F9FC"/>
            <w:vAlign w:val="top"/>
            <w:tcMar>
              <w:top w:w="72" w:type="dxa"/>
              <w:start w:w="100" w:type="dxa"/>
              <w:bottom w:w="72" w:type="dxa"/>
              <w:end w:w="100" w:type="dxa"/>
            </w:tcMar>
          </w:tcPr>
          <w:p>
            <w:pPr>
              <w:spacing w:after="0"/>
            </w:pPr>
            <w:r>
              <w:rPr>
                <w:rFonts w:ascii="Calibri" w:hAnsi="Calibri"/>
                <w:b/>
                <w:color w:val="1F2937"/>
                <w:sz w:val="16"/>
              </w:rPr>
              <w:t>Which method is intermediate?</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6"/>
              </w:rPr>
              <w:t>Method i</w:t>
            </w:r>
          </w:p>
        </w:tc>
        <w:tc>
          <w:tcPr>
            <w:tcW w:type="dxa" w:w="3910"/>
            <w:shd w:fill="F5F9FC"/>
            <w:vAlign w:val="top"/>
            <w:tcMar>
              <w:top w:w="72" w:type="dxa"/>
              <w:start w:w="100" w:type="dxa"/>
              <w:bottom w:w="72" w:type="dxa"/>
              <w:end w:w="100" w:type="dxa"/>
            </w:tcMar>
          </w:tcPr>
          <w:p>
            <w:pPr>
              <w:spacing w:after="0"/>
            </w:pPr>
            <w:r>
              <w:rPr>
                <w:rFonts w:ascii="Calibri" w:hAnsi="Calibri"/>
                <w:color w:val="1F2937"/>
                <w:sz w:val="16"/>
              </w:rPr>
              <w:t>Consistently behind iii-v but often ahead of ii</w:t>
            </w:r>
          </w:p>
        </w:tc>
      </w:tr>
      <w:tr>
        <w:trPr>
          <w:cantSplit/>
        </w:trPr>
        <w:tc>
          <w:tcPr>
            <w:tcW w:type="dxa" w:w="2600"/>
            <w:vAlign w:val="top"/>
            <w:tcMar>
              <w:top w:w="72" w:type="dxa"/>
              <w:start w:w="100" w:type="dxa"/>
              <w:bottom w:w="72" w:type="dxa"/>
              <w:end w:w="100" w:type="dxa"/>
            </w:tcMar>
          </w:tcPr>
          <w:p>
            <w:pPr>
              <w:spacing w:after="0"/>
            </w:pPr>
            <w:r>
              <w:rPr>
                <w:rFonts w:ascii="Calibri" w:hAnsi="Calibri"/>
                <w:b/>
                <w:color w:val="1F2937"/>
                <w:sz w:val="16"/>
              </w:rPr>
              <w:t>Which method is least supported?</w:t>
            </w:r>
          </w:p>
        </w:tc>
        <w:tc>
          <w:tcPr>
            <w:tcW w:type="dxa" w:w="2850"/>
            <w:vAlign w:val="top"/>
            <w:tcMar>
              <w:top w:w="72" w:type="dxa"/>
              <w:start w:w="100" w:type="dxa"/>
              <w:bottom w:w="72" w:type="dxa"/>
              <w:end w:w="100" w:type="dxa"/>
            </w:tcMar>
          </w:tcPr>
          <w:p>
            <w:pPr>
              <w:spacing w:after="0"/>
            </w:pPr>
            <w:r>
              <w:rPr>
                <w:rFonts w:ascii="Calibri" w:hAnsi="Calibri"/>
                <w:color w:val="1F2937"/>
                <w:sz w:val="16"/>
              </w:rPr>
              <w:t>Method ii</w:t>
            </w:r>
          </w:p>
        </w:tc>
        <w:tc>
          <w:tcPr>
            <w:tcW w:type="dxa" w:w="3910"/>
            <w:vAlign w:val="top"/>
            <w:tcMar>
              <w:top w:w="72" w:type="dxa"/>
              <w:start w:w="100" w:type="dxa"/>
              <w:bottom w:w="72" w:type="dxa"/>
              <w:end w:w="100" w:type="dxa"/>
            </w:tcMar>
          </w:tcPr>
          <w:p>
            <w:pPr>
              <w:spacing w:after="0"/>
            </w:pPr>
            <w:r>
              <w:rPr>
                <w:rFonts w:ascii="Calibri" w:hAnsi="Calibri"/>
                <w:color w:val="1F2937"/>
                <w:sz w:val="16"/>
              </w:rPr>
              <w:t>Worst in three analyses and about 19.7-19.8% worse than v globally</w:t>
            </w:r>
          </w:p>
        </w:tc>
      </w:tr>
      <w:tr>
        <w:trPr>
          <w:cantSplit/>
        </w:trPr>
        <w:tc>
          <w:tcPr>
            <w:tcW w:type="dxa" w:w="2600"/>
            <w:shd w:fill="F5F9FC"/>
            <w:vAlign w:val="top"/>
            <w:tcMar>
              <w:top w:w="72" w:type="dxa"/>
              <w:start w:w="100" w:type="dxa"/>
              <w:bottom w:w="72" w:type="dxa"/>
              <w:end w:w="100" w:type="dxa"/>
            </w:tcMar>
          </w:tcPr>
          <w:p>
            <w:pPr>
              <w:spacing w:after="0"/>
            </w:pPr>
            <w:r>
              <w:rPr>
                <w:rFonts w:ascii="Calibri" w:hAnsi="Calibri"/>
                <w:b/>
                <w:color w:val="1F2937"/>
                <w:sz w:val="16"/>
              </w:rPr>
              <w:t>Which factor dominates accuracy?</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6"/>
              </w:rPr>
              <w:t>sigma</w:t>
            </w:r>
          </w:p>
        </w:tc>
        <w:tc>
          <w:tcPr>
            <w:tcW w:type="dxa" w:w="3910"/>
            <w:shd w:fill="F5F9FC"/>
            <w:vAlign w:val="top"/>
            <w:tcMar>
              <w:top w:w="72" w:type="dxa"/>
              <w:start w:w="100" w:type="dxa"/>
              <w:bottom w:w="72" w:type="dxa"/>
              <w:end w:w="100" w:type="dxa"/>
            </w:tcMar>
          </w:tcPr>
          <w:p>
            <w:pPr>
              <w:spacing w:after="0"/>
            </w:pPr>
            <w:r>
              <w:rPr>
                <w:rFonts w:ascii="Calibri" w:hAnsi="Calibri"/>
                <w:color w:val="1F2937"/>
                <w:sz w:val="16"/>
              </w:rPr>
              <w:t>Largest effect in every framework and largest method interaction</w:t>
            </w:r>
          </w:p>
        </w:tc>
      </w:tr>
      <w:tr>
        <w:trPr>
          <w:cantSplit/>
        </w:trPr>
        <w:tc>
          <w:tcPr>
            <w:tcW w:type="dxa" w:w="2600"/>
            <w:vAlign w:val="top"/>
            <w:tcMar>
              <w:top w:w="72" w:type="dxa"/>
              <w:start w:w="100" w:type="dxa"/>
              <w:bottom w:w="72" w:type="dxa"/>
              <w:end w:w="100" w:type="dxa"/>
            </w:tcMar>
          </w:tcPr>
          <w:p>
            <w:pPr>
              <w:spacing w:after="0"/>
            </w:pPr>
            <w:r>
              <w:rPr>
                <w:rFonts w:ascii="Calibri" w:hAnsi="Calibri"/>
                <w:b/>
                <w:color w:val="1F2937"/>
                <w:sz w:val="16"/>
              </w:rPr>
              <w:t>Which factors form the second tier?</w:t>
            </w:r>
          </w:p>
        </w:tc>
        <w:tc>
          <w:tcPr>
            <w:tcW w:type="dxa" w:w="2850"/>
            <w:vAlign w:val="top"/>
            <w:tcMar>
              <w:top w:w="72" w:type="dxa"/>
              <w:start w:w="100" w:type="dxa"/>
              <w:bottom w:w="72" w:type="dxa"/>
              <w:end w:w="100" w:type="dxa"/>
            </w:tcMar>
          </w:tcPr>
          <w:p>
            <w:pPr>
              <w:spacing w:after="0"/>
            </w:pPr>
            <w:r>
              <w:rPr>
                <w:rFonts w:ascii="Calibri" w:hAnsi="Calibri"/>
                <w:color w:val="1F2937"/>
                <w:sz w:val="16"/>
              </w:rPr>
              <w:t>G, mean_nsamp, and design_block</w:t>
            </w:r>
          </w:p>
        </w:tc>
        <w:tc>
          <w:tcPr>
            <w:tcW w:type="dxa" w:w="3910"/>
            <w:vAlign w:val="top"/>
            <w:tcMar>
              <w:top w:w="72" w:type="dxa"/>
              <w:start w:w="100" w:type="dxa"/>
              <w:bottom w:w="72" w:type="dxa"/>
              <w:end w:w="100" w:type="dxa"/>
            </w:tcMar>
          </w:tcPr>
          <w:p>
            <w:pPr>
              <w:spacing w:after="0"/>
            </w:pPr>
            <w:r>
              <w:rPr>
                <w:rFonts w:ascii="Calibri" w:hAnsi="Calibri"/>
                <w:color w:val="1F2937"/>
                <w:sz w:val="16"/>
              </w:rPr>
              <w:t>G dominates absolute error; sample size and block strongly affect method gaps</w:t>
            </w:r>
          </w:p>
        </w:tc>
      </w:tr>
      <w:tr>
        <w:trPr>
          <w:cantSplit/>
        </w:trPr>
        <w:tc>
          <w:tcPr>
            <w:tcW w:type="dxa" w:w="2600"/>
            <w:shd w:fill="F5F9FC"/>
            <w:vAlign w:val="top"/>
            <w:tcMar>
              <w:top w:w="72" w:type="dxa"/>
              <w:start w:w="100" w:type="dxa"/>
              <w:bottom w:w="72" w:type="dxa"/>
              <w:end w:w="100" w:type="dxa"/>
            </w:tcMar>
          </w:tcPr>
          <w:p>
            <w:pPr>
              <w:spacing w:after="0"/>
            </w:pPr>
            <w:r>
              <w:rPr>
                <w:rFonts w:ascii="Calibri" w:hAnsi="Calibri"/>
                <w:b/>
                <w:color w:val="1F2937"/>
                <w:sz w:val="16"/>
              </w:rPr>
              <w:t>Which factors have least influence?</w:t>
            </w:r>
          </w:p>
        </w:tc>
        <w:tc>
          <w:tcPr>
            <w:tcW w:type="dxa" w:w="2850"/>
            <w:shd w:fill="F5F9FC"/>
            <w:vAlign w:val="top"/>
            <w:tcMar>
              <w:top w:w="72" w:type="dxa"/>
              <w:start w:w="100" w:type="dxa"/>
              <w:bottom w:w="72" w:type="dxa"/>
              <w:end w:w="100" w:type="dxa"/>
            </w:tcMar>
          </w:tcPr>
          <w:p>
            <w:pPr>
              <w:spacing w:after="0"/>
            </w:pPr>
            <w:r>
              <w:rPr>
                <w:rFonts w:ascii="Calibri" w:hAnsi="Calibri"/>
                <w:color w:val="1F2937"/>
                <w:sz w:val="16"/>
              </w:rPr>
              <w:t>theta_CV and linear p1/p2</w:t>
            </w:r>
          </w:p>
        </w:tc>
        <w:tc>
          <w:tcPr>
            <w:tcW w:type="dxa" w:w="3910"/>
            <w:shd w:fill="F5F9FC"/>
            <w:vAlign w:val="top"/>
            <w:tcMar>
              <w:top w:w="72" w:type="dxa"/>
              <w:start w:w="100" w:type="dxa"/>
              <w:bottom w:w="72" w:type="dxa"/>
              <w:end w:w="100" w:type="dxa"/>
            </w:tcMar>
          </w:tcPr>
          <w:p>
            <w:pPr>
              <w:spacing w:after="0"/>
            </w:pPr>
            <w:r>
              <w:rPr>
                <w:rFonts w:ascii="Calibri" w:hAnsi="Calibri"/>
                <w:color w:val="1F2937"/>
                <w:sz w:val="16"/>
              </w:rPr>
              <w:t>Tiny or absent linear effects; nonlinear p1-p2 morphology remains important</w:t>
            </w:r>
          </w:p>
        </w:tc>
      </w:tr>
    </w:tbl>
    <w:p>
      <w:pPr>
        <w:spacing w:after="0"/>
      </w:pPr>
    </w:p>
    <w:p>
      <w:pPr>
        <w:keepLines w:val="0"/>
      </w:pPr>
      <w:r>
        <w:t>The final ranking is v first, iii second, iv third, i fourth, and ii fifth, with an explicit practical tie between v and iii. This ordering is not based on vote counting alone. It prioritizes the matched global log-ratio evidence, uses the factorial and mixed-model analyses to identify condition dependence, and uses the GAM to test whether simplex position changes the interpretation. Under this integration, v has the best overall balance, iii is effectively equivalent and may be preferred for L1, and iv remains a strong RMSE/Linf alternative.</w:t>
      </w:r>
    </w:p>
    <w:p>
      <w:pPr>
        <w:keepLines w:val="0"/>
      </w:pPr>
      <w:r>
        <w:t>The experimental design has a larger influence on accuracy than the small differences among the three leading methods. Sigma is consistently the dominant driver for RMSE, L1, and Linf, and the method-by-sigma interaction is the principal threat to stable rankings. G strongly affects absolute error, whereas mean sample size and sampling-distribution block are especially important for the gaps among close methods. Theta_true has a smaller consistent effect, theta_CV is negligible, and p1-p2 effects are nonlinear rather than well represented by separate linear terms.</w:t>
      </w:r>
    </w:p>
    <w:p>
      <w:pPr>
        <w:keepLines w:val="0"/>
      </w:pPr>
      <w:r>
        <w:t>In conclusion, v is the preferred default and iii is nearly equivalent, particularly for L1. Method iv is close for RMSE/Linf; i is intermediate; ii is least reliable and about 20% worse than v globally. These rankings remain conditional on robust, multiplicity-adjusted cellwise contrasts.</w:t>
      </w:r>
    </w:p>
    <w:sectPr w:rsidR="00FC693F" w:rsidRPr="0006063C" w:rsidSect="00034616">
      <w:headerReference w:type="default" r:id="rId9"/>
      <w:footerReference w:type="default" r:id="rId10"/>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4F81BD"/>
        <w:sz w:val="17"/>
      </w:rPr>
      <w:t>ESTIMATION ACCURACY | INTEGRATED FOUR-ANALYSIS SYNTHESIS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40" w:lineRule="auto"/>
    </w:pPr>
    <w:rPr>
      <w:rFonts w:ascii="Calibri" w:hAnsi="Calibr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Statistical Synthesis of Estimation Accuracy</dc:title>
  <dc:subject>Comparison of five compositional likelihood estimation methods across four statistical analyses</dc:subject>
  <dc:creator>OpenAI</dc:creator>
  <cp:keywords>compositional likelihood, RMSE, L1, Linf, MANOVA, mixed-effects model, GAM</cp:keywords>
  <dc:description>generated by python-docx</dc:description>
  <cp:lastModifiedBy/>
  <cp:revision>1</cp:revision>
  <dcterms:created xsi:type="dcterms:W3CDTF">2013-12-23T23:15:00Z</dcterms:created>
  <dcterms:modified xsi:type="dcterms:W3CDTF">2013-12-23T23:15:00Z</dcterms:modified>
  <cp:category/>
</cp:coreProperties>
</file>