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keepNext/>
        <w:spacing w:after="200"/>
      </w:pPr>
      <w:r>
        <w:rPr>
          <w:rFonts w:ascii="Calibri" w:hAnsi="Calibri"/>
          <w:b/>
          <w:color w:val="1F4D78"/>
          <w:sz w:val="50"/>
        </w:rPr>
        <w:t>Formal Statistical Analysis of Multivariate Estimation Accuracy</w:t>
      </w:r>
    </w:p>
    <w:p>
      <w:pPr>
        <w:keepNext/>
        <w:spacing w:after="360"/>
      </w:pPr>
      <w:r>
        <w:rPr>
          <w:rFonts w:ascii="Calibri" w:hAnsi="Calibri"/>
          <w:color w:val="5B6573"/>
          <w:sz w:val="26"/>
        </w:rPr>
        <w:t>Linear mixed-effects model, Type III Satterthwaite tests, estimated marginal means, and simplex random effects</w:t>
      </w:r>
    </w:p>
    <w:p>
      <w:pPr>
        <w:spacing w:after="560"/>
      </w:pPr>
      <w:r>
        <w:rPr>
          <w:rFonts w:ascii="Calibri" w:hAnsi="Calibri"/>
          <w:color w:val="5B6573"/>
          <w:sz w:val="19"/>
        </w:rPr>
        <w:t>Analysis source: results-code-B.txt  |  Model source: code-B.R  |  Prepared 27 August 2026</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c>
          <w:tcPr>
            <w:tcW w:type="dxa" w:w="9360"/>
            <w:shd w:fill="F2F4F7"/>
            <w:tcMar>
              <w:top w:w="80" w:type="dxa"/>
              <w:start w:w="120" w:type="dxa"/>
              <w:bottom w:w="80" w:type="dxa"/>
              <w:end w:w="120" w:type="dxa"/>
            </w:tcMar>
          </w:tcPr>
          <w:p>
            <w:pPr>
              <w:keepLines/>
              <w:spacing w:after="0"/>
            </w:pPr>
            <w:r>
              <w:rPr>
                <w:b/>
                <w:color w:val="1F4D78"/>
              </w:rPr>
              <w:t xml:space="preserve">Central finding. </w:t>
            </w:r>
            <w:r>
              <w:t>Methods iii and iv had the lowest overall transformed error and were statistically indistinguishable. Method v was a close but significantly weaker third overall. Methods i and ii were globally similar only because their ordering reversed across metrics. Among experimental factors, sigma and G overwhelmingly dominated the fitted accuracy response.</w:t>
            </w:r>
          </w:p>
        </w:tc>
      </w:tr>
    </w:tbl>
    <w:p>
      <w:pPr>
        <w:spacing w:after="0"/>
      </w:pPr>
    </w:p>
    <w:p>
      <w:r>
        <w:br w:type="page"/>
      </w:r>
    </w:p>
    <w:p>
      <w:pPr>
        <w:pStyle w:val="Heading1"/>
        <w:keepNext/>
      </w:pPr>
      <w:r>
        <w:t>Executive synthesis</w:t>
      </w:r>
    </w:p>
    <w:p>
      <w:pPr>
        <w:keepLines/>
      </w:pPr>
      <w:r>
        <w:t>The weighted linear mixed-effects analysis used 300,000 simplex-method-metric cells from 20,000 complete simplex groups, representing 1,500,000 original observations. The response was the cell mean of log(1 + accuracy), with the number of original observations used as a prior weight and simplex_id included as a random intercept.</w:t>
      </w:r>
    </w:p>
    <w:p>
      <w:pPr>
        <w:keepLines/>
      </w:pPr>
      <w:r>
        <w:t>Type III tests with Satterthwaite denominator degrees of freedom showed strong method, metric, and method-by-metric effects. Method was significant, F(4, 279930) = 764.28, p &lt; 2.2 x 10^-16; metric was much larger, F(2, 279930) = 379060, p &lt; 2.2 x 10^-16; and method-by-metric was also strong, F(8, 279930) = 516.56, p &lt; 2.2 x 10^-16. Thus, method differences cannot be summarized by one universal ordering without recognizing the error definition.</w:t>
      </w:r>
    </w:p>
    <w:p>
      <w:pPr>
        <w:keepLines/>
      </w:pPr>
      <w:r>
        <w:t>The experimental hierarchy was stable and pronounced: sigma (F = 11467) and G (F = 7753.5) dominated; mean_nsamp (F = 641.96), design_block (F = 376.32), and theta_true (F = 234.51) were secondary; theta_CV was statistically significant but weak (F = 18.02); and p1 and p2 were not significant as main effects. The largest method-by-condition interaction was method-by-sigma (F = 1024.9).</w:t>
      </w:r>
    </w:p>
    <w:p>
      <w:pPr>
        <w:keepLines/>
      </w:pPr>
      <w:r>
        <w:t>At the specified reference condition, methods iii and iv were the leading pair across RMSE, L1, and Linf. Method v remained close but was significantly worse than iii and iv overall. Methods i and ii were inferior to iii-v overall and did not differ after averaging equally over metrics; however, i was worse than ii for RMSE and Linf but better than ii for L1. This crossover is the clearest substantive expression of the method-by-metric interaction.</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c>
          <w:tcPr>
            <w:tcW w:type="dxa" w:w="9360"/>
            <w:shd w:fill="F2F4F7"/>
            <w:tcMar>
              <w:top w:w="80" w:type="dxa"/>
              <w:start w:w="120" w:type="dxa"/>
              <w:bottom w:w="80" w:type="dxa"/>
              <w:end w:w="120" w:type="dxa"/>
            </w:tcMar>
          </w:tcPr>
          <w:p>
            <w:pPr>
              <w:keepLines/>
              <w:spacing w:after="0"/>
            </w:pPr>
            <w:r>
              <w:rPr>
                <w:b/>
                <w:color w:val="1F4D78"/>
              </w:rPr>
              <w:t xml:space="preserve">Interpretive scope. </w:t>
            </w:r>
            <w:r>
              <w:t>Code B is a stacked, weighted univariate LMM with metric as a fixed factor. It jointly compares several error definitions, but it is not a classical multivariate-response mixed model with an estimated residual covariance matrix among RMSE, L1, and Linf.</w:t>
            </w:r>
          </w:p>
        </w:tc>
      </w:tr>
    </w:tbl>
    <w:p>
      <w:pPr>
        <w:spacing w:after="0"/>
      </w:pPr>
    </w:p>
    <w:p>
      <w:r>
        <w:br w:type="page"/>
      </w:r>
    </w:p>
    <w:p>
      <w:pPr>
        <w:pStyle w:val="Heading1"/>
        <w:keepNext/>
      </w:pPr>
      <w:r>
        <w:t>1. Data reduction and model specification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0"/>
        <w:gridCol w:w="6760"/>
      </w:tblGrid>
      <w:tr>
        <w:trPr>
          <w:trHeight w:hRule="atLeast"/>
          <w:tblHeader w:val="true"/>
        </w:trPr>
        <w:tc>
          <w:tcPr>
            <w:tcW w:type="dxa" w:w="2600"/>
            <w:shd w:fill="E8EEF5"/>
            <w:vAlign w:val="center"/>
            <w:tcMar>
              <w:top w:w="80" w:type="dxa"/>
              <w:start w:w="120" w:type="dxa"/>
              <w:bottom w:w="80" w:type="dxa"/>
              <w:end w:w="120" w:type="dxa"/>
            </w:tcMar>
          </w:tcPr>
          <w:p>
            <w:pPr>
              <w:keepLines/>
              <w:spacing w:before="0" w:after="0"/>
            </w:pPr>
            <w:r>
              <w:rPr>
                <w:rFonts w:ascii="Calibri" w:hAnsi="Calibri"/>
                <w:b/>
                <w:color w:val="1F4D78"/>
                <w:sz w:val="18"/>
              </w:rPr>
              <w:t>Component</w:t>
            </w:r>
          </w:p>
        </w:tc>
        <w:tc>
          <w:tcPr>
            <w:tcW w:type="dxa" w:w="6760"/>
            <w:shd w:fill="E8EEF5"/>
            <w:vAlign w:val="center"/>
            <w:tcMar>
              <w:top w:w="80" w:type="dxa"/>
              <w:start w:w="120" w:type="dxa"/>
              <w:bottom w:w="80" w:type="dxa"/>
              <w:end w:w="120" w:type="dxa"/>
            </w:tcMar>
          </w:tcPr>
          <w:p>
            <w:pPr>
              <w:keepLines/>
              <w:spacing w:before="0" w:after="0"/>
            </w:pPr>
            <w:r>
              <w:rPr>
                <w:rFonts w:ascii="Calibri" w:hAnsi="Calibri"/>
                <w:b/>
                <w:color w:val="1F4D78"/>
                <w:sz w:val="18"/>
              </w:rPr>
              <w:t>Specification</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Original observations</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3,608,550 represented before the memory safeguard</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Reduced cells</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721,710 simplex-method-metric cells</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Available simplex groups</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48,114</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Fitted sample</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20,000 complete simplex groups; 300,000 cells</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Observations represented</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1,500,000</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Sampling</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Reproducible group sample; seed 11307</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Response</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Cell mean of log(1 + accuracy)</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Prior weight</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Number of original observations in each cell</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Random effect</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Random intercept for simplex_id</w:t>
            </w:r>
          </w:p>
        </w:tc>
      </w:tr>
      <w:tr>
        <w:trPr>
          <w:cantSplit/>
        </w:trPr>
        <w:tc>
          <w:tcPr>
            <w:tcW w:type="dxa" w:w="2600"/>
            <w:vAlign w:val="top"/>
            <w:tcMar>
              <w:top w:w="80" w:type="dxa"/>
              <w:start w:w="120" w:type="dxa"/>
              <w:bottom w:w="80" w:type="dxa"/>
              <w:end w:w="120" w:type="dxa"/>
            </w:tcMar>
          </w:tcPr>
          <w:p>
            <w:pPr>
              <w:keepLines/>
              <w:spacing w:before="0" w:after="40" w:line="240" w:lineRule="auto"/>
            </w:pPr>
            <w:r>
              <w:rPr>
                <w:rFonts w:ascii="Calibri" w:hAnsi="Calibri"/>
                <w:b/>
                <w:color w:val="1F2937"/>
                <w:sz w:val="18"/>
              </w:rPr>
              <w:t>Estimation</w:t>
            </w:r>
          </w:p>
        </w:tc>
        <w:tc>
          <w:tcPr>
            <w:tcW w:type="dxa" w:w="6760"/>
            <w:vAlign w:val="top"/>
            <w:tcMar>
              <w:top w:w="80" w:type="dxa"/>
              <w:start w:w="120" w:type="dxa"/>
              <w:bottom w:w="80" w:type="dxa"/>
              <w:end w:w="120" w:type="dxa"/>
            </w:tcMar>
          </w:tcPr>
          <w:p>
            <w:pPr>
              <w:keepLines/>
              <w:spacing w:before="0" w:after="40" w:line="240" w:lineRule="auto"/>
            </w:pPr>
            <w:r>
              <w:rPr>
                <w:rFonts w:ascii="Calibri" w:hAnsi="Calibri"/>
                <w:color w:val="1F2937"/>
                <w:sz w:val="18"/>
              </w:rPr>
              <w:t>REML; bobyqa optimizer; sum-to-zero contrasts</w:t>
            </w:r>
          </w:p>
        </w:tc>
      </w:tr>
    </w:tbl>
    <w:p>
      <w:pPr>
        <w:spacing w:after="0"/>
      </w:pPr>
    </w:p>
    <w:p>
      <w:pPr>
        <w:keepLines/>
      </w:pPr>
      <w:r>
        <w:t>Sampling retained all method-by-metric cells for each selected simplex, which preserves within-simplex comparisons. The fitted sample contained about 41.6% of the available simplex groups and represented about 41.6% of the original observations. Inference therefore pertains directly to this reproducible random subset; sampling variability from choosing simplex groups was not propagated into the reported standard errors.</w:t>
      </w:r>
    </w:p>
    <w:p>
      <w:pPr>
        <w:pStyle w:val="Heading2"/>
        <w:keepNext/>
      </w:pPr>
      <w:r>
        <w:t>1.1 Fixed-effects structure</w:t>
      </w:r>
    </w:p>
    <w:p>
      <w:pPr>
        <w:keepLines/>
        <w:spacing w:before="80" w:after="160"/>
        <w:jc w:val="center"/>
      </w:pPr>
      <w:r>
        <w:rPr>
          <w:rFonts w:ascii="Cambria Math" w:hAnsi="Cambria Math"/>
          <w:i/>
          <w:sz w:val="20"/>
        </w:rPr>
        <w:t>method * metric + method * (design_block + G + theta_true + theta_CV + sigma + mean_nsamp + p1 + p2)</w:t>
      </w:r>
    </w:p>
    <w:p>
      <w:pPr>
        <w:keepLines/>
      </w:pPr>
      <w:r>
        <w:t>The model includes method interactions with every listed factor but excludes interactions among the experimental factors and higher-order interactions such as method-by-metric-by-sigma. Consequently, it tests whether the average method response varies by metric and by each condition separately, not whether metric-specific method differences themselves change with experimental conditions.</w:t>
      </w:r>
    </w:p>
    <w:p>
      <w:pPr>
        <w:pStyle w:val="Heading2"/>
        <w:keepNext/>
      </w:pPr>
      <w:r>
        <w:t>1.2 Fit and residual summary</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000"/>
        <w:gridCol w:w="6360"/>
      </w:tblGrid>
      <w:tr>
        <w:trPr>
          <w:trHeight w:hRule="atLeast"/>
          <w:tblHeader w:val="true"/>
        </w:trPr>
        <w:tc>
          <w:tcPr>
            <w:tcW w:type="dxa" w:w="3000"/>
            <w:shd w:fill="E8EEF5"/>
            <w:vAlign w:val="center"/>
            <w:tcMar>
              <w:top w:w="80" w:type="dxa"/>
              <w:start w:w="120" w:type="dxa"/>
              <w:bottom w:w="80" w:type="dxa"/>
              <w:end w:w="120" w:type="dxa"/>
            </w:tcMar>
          </w:tcPr>
          <w:p>
            <w:pPr>
              <w:keepLines/>
              <w:spacing w:before="0" w:after="0"/>
            </w:pPr>
            <w:r>
              <w:rPr>
                <w:rFonts w:ascii="Calibri" w:hAnsi="Calibri"/>
                <w:b/>
                <w:color w:val="1F4D78"/>
                <w:sz w:val="18"/>
              </w:rPr>
              <w:t>Diagnostic</w:t>
            </w:r>
          </w:p>
        </w:tc>
        <w:tc>
          <w:tcPr>
            <w:tcW w:type="dxa" w:w="6360"/>
            <w:shd w:fill="E8EEF5"/>
            <w:vAlign w:val="center"/>
            <w:tcMar>
              <w:top w:w="80" w:type="dxa"/>
              <w:start w:w="120" w:type="dxa"/>
              <w:bottom w:w="80" w:type="dxa"/>
              <w:end w:w="120" w:type="dxa"/>
            </w:tcMar>
          </w:tcPr>
          <w:p>
            <w:pPr>
              <w:keepLines/>
              <w:spacing w:before="0" w:after="0"/>
            </w:pPr>
            <w:r>
              <w:rPr>
                <w:rFonts w:ascii="Calibri" w:hAnsi="Calibri"/>
                <w:b/>
                <w:color w:val="1F4D78"/>
                <w:sz w:val="18"/>
              </w:rPr>
              <w:t>Result</w:t>
            </w:r>
          </w:p>
        </w:tc>
      </w:tr>
      <w:tr>
        <w:trPr>
          <w:cantSplit/>
        </w:trPr>
        <w:tc>
          <w:tcPr>
            <w:tcW w:type="dxa" w:w="30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REML criterion</w:t>
            </w:r>
          </w:p>
        </w:tc>
        <w:tc>
          <w:tcPr>
            <w:tcW w:type="dxa" w:w="6360"/>
            <w:vAlign w:val="top"/>
            <w:tcMar>
              <w:top w:w="80" w:type="dxa"/>
              <w:start w:w="120" w:type="dxa"/>
              <w:bottom w:w="80" w:type="dxa"/>
              <w:end w:w="120" w:type="dxa"/>
            </w:tcMar>
          </w:tcPr>
          <w:p>
            <w:pPr>
              <w:keepLines/>
              <w:spacing w:before="0" w:after="40" w:line="240" w:lineRule="auto"/>
            </w:pPr>
            <w:r>
              <w:rPr>
                <w:rFonts w:ascii="Calibri" w:hAnsi="Calibri"/>
                <w:color w:val="1F2937"/>
                <w:sz w:val="18"/>
              </w:rPr>
              <w:t>-1,175,765</w:t>
            </w:r>
          </w:p>
        </w:tc>
      </w:tr>
      <w:tr>
        <w:trPr>
          <w:cantSplit/>
        </w:trPr>
        <w:tc>
          <w:tcPr>
            <w:tcW w:type="dxa" w:w="3000"/>
            <w:vAlign w:val="top"/>
            <w:tcMar>
              <w:top w:w="80" w:type="dxa"/>
              <w:start w:w="120" w:type="dxa"/>
              <w:bottom w:w="80" w:type="dxa"/>
              <w:end w:w="120" w:type="dxa"/>
            </w:tcMar>
          </w:tcPr>
          <w:p>
            <w:pPr>
              <w:keepLines/>
              <w:spacing w:before="0" w:after="40" w:line="240" w:lineRule="auto"/>
            </w:pPr>
            <w:r>
              <w:rPr>
                <w:rFonts w:ascii="Calibri" w:hAnsi="Calibri"/>
                <w:b/>
                <w:color w:val="1F2937"/>
                <w:sz w:val="18"/>
              </w:rPr>
              <w:t>Scaled residual median</w:t>
            </w:r>
          </w:p>
        </w:tc>
        <w:tc>
          <w:tcPr>
            <w:tcW w:type="dxa" w:w="6360"/>
            <w:vAlign w:val="top"/>
            <w:tcMar>
              <w:top w:w="80" w:type="dxa"/>
              <w:start w:w="120" w:type="dxa"/>
              <w:bottom w:w="80" w:type="dxa"/>
              <w:end w:w="120" w:type="dxa"/>
            </w:tcMar>
          </w:tcPr>
          <w:p>
            <w:pPr>
              <w:keepLines/>
              <w:spacing w:before="0" w:after="40" w:line="240" w:lineRule="auto"/>
            </w:pPr>
            <w:r>
              <w:rPr>
                <w:rFonts w:ascii="Calibri" w:hAnsi="Calibri"/>
                <w:color w:val="1F2937"/>
                <w:sz w:val="18"/>
              </w:rPr>
              <w:t>-0.0220</w:t>
            </w:r>
          </w:p>
        </w:tc>
      </w:tr>
      <w:tr>
        <w:trPr>
          <w:cantSplit/>
        </w:trPr>
        <w:tc>
          <w:tcPr>
            <w:tcW w:type="dxa" w:w="3000"/>
            <w:vAlign w:val="top"/>
            <w:tcMar>
              <w:top w:w="80" w:type="dxa"/>
              <w:start w:w="120" w:type="dxa"/>
              <w:bottom w:w="80" w:type="dxa"/>
              <w:end w:w="120" w:type="dxa"/>
            </w:tcMar>
          </w:tcPr>
          <w:p>
            <w:pPr>
              <w:keepLines/>
              <w:spacing w:before="0" w:after="40" w:line="240" w:lineRule="auto"/>
            </w:pPr>
            <w:r>
              <w:rPr>
                <w:rFonts w:ascii="Calibri" w:hAnsi="Calibri"/>
                <w:b/>
                <w:color w:val="1F2937"/>
                <w:sz w:val="18"/>
              </w:rPr>
              <w:t>Scaled residual range</w:t>
            </w:r>
          </w:p>
        </w:tc>
        <w:tc>
          <w:tcPr>
            <w:tcW w:type="dxa" w:w="6360"/>
            <w:vAlign w:val="top"/>
            <w:tcMar>
              <w:top w:w="80" w:type="dxa"/>
              <w:start w:w="120" w:type="dxa"/>
              <w:bottom w:w="80" w:type="dxa"/>
              <w:end w:w="120" w:type="dxa"/>
            </w:tcMar>
          </w:tcPr>
          <w:p>
            <w:pPr>
              <w:keepLines/>
              <w:spacing w:before="0" w:after="40" w:line="240" w:lineRule="auto"/>
            </w:pPr>
            <w:r>
              <w:rPr>
                <w:rFonts w:ascii="Calibri" w:hAnsi="Calibri"/>
                <w:color w:val="1F2937"/>
                <w:sz w:val="18"/>
              </w:rPr>
              <w:t>-5.6054 to 14.2911</w:t>
            </w:r>
          </w:p>
        </w:tc>
      </w:tr>
      <w:tr>
        <w:trPr>
          <w:cantSplit/>
        </w:trPr>
        <w:tc>
          <w:tcPr>
            <w:tcW w:type="dxa" w:w="3000"/>
            <w:vAlign w:val="top"/>
            <w:tcMar>
              <w:top w:w="80" w:type="dxa"/>
              <w:start w:w="120" w:type="dxa"/>
              <w:bottom w:w="80" w:type="dxa"/>
              <w:end w:w="120" w:type="dxa"/>
            </w:tcMar>
          </w:tcPr>
          <w:p>
            <w:pPr>
              <w:keepLines/>
              <w:spacing w:before="0" w:after="40" w:line="240" w:lineRule="auto"/>
            </w:pPr>
            <w:r>
              <w:rPr>
                <w:rFonts w:ascii="Calibri" w:hAnsi="Calibri"/>
                <w:b/>
                <w:color w:val="1F2937"/>
                <w:sz w:val="18"/>
              </w:rPr>
              <w:t>Singular fit</w:t>
            </w:r>
          </w:p>
        </w:tc>
        <w:tc>
          <w:tcPr>
            <w:tcW w:type="dxa" w:w="6360"/>
            <w:vAlign w:val="top"/>
            <w:tcMar>
              <w:top w:w="80" w:type="dxa"/>
              <w:start w:w="120" w:type="dxa"/>
              <w:bottom w:w="80" w:type="dxa"/>
              <w:end w:w="120" w:type="dxa"/>
            </w:tcMar>
          </w:tcPr>
          <w:p>
            <w:pPr>
              <w:keepLines/>
              <w:spacing w:before="0" w:after="40" w:line="240" w:lineRule="auto"/>
            </w:pPr>
            <w:r>
              <w:rPr>
                <w:rFonts w:ascii="Calibri" w:hAnsi="Calibri"/>
                <w:color w:val="1F2937"/>
                <w:sz w:val="18"/>
              </w:rPr>
              <w:t>No</w:t>
            </w:r>
          </w:p>
        </w:tc>
      </w:tr>
      <w:tr>
        <w:trPr>
          <w:cantSplit/>
        </w:trPr>
        <w:tc>
          <w:tcPr>
            <w:tcW w:type="dxa" w:w="3000"/>
            <w:vAlign w:val="top"/>
            <w:tcMar>
              <w:top w:w="80" w:type="dxa"/>
              <w:start w:w="120" w:type="dxa"/>
              <w:bottom w:w="80" w:type="dxa"/>
              <w:end w:w="120" w:type="dxa"/>
            </w:tcMar>
          </w:tcPr>
          <w:p>
            <w:pPr>
              <w:keepLines/>
              <w:spacing w:before="0" w:after="40" w:line="240" w:lineRule="auto"/>
            </w:pPr>
            <w:r>
              <w:rPr>
                <w:rFonts w:ascii="Calibri" w:hAnsi="Calibri"/>
                <w:b/>
                <w:color w:val="1F2937"/>
                <w:sz w:val="18"/>
              </w:rPr>
              <w:t>Optimizer messages</w:t>
            </w:r>
          </w:p>
        </w:tc>
        <w:tc>
          <w:tcPr>
            <w:tcW w:type="dxa" w:w="6360"/>
            <w:vAlign w:val="top"/>
            <w:tcMar>
              <w:top w:w="80" w:type="dxa"/>
              <w:start w:w="120" w:type="dxa"/>
              <w:bottom w:w="80" w:type="dxa"/>
              <w:end w:w="120" w:type="dxa"/>
            </w:tcMar>
          </w:tcPr>
          <w:p>
            <w:pPr>
              <w:keepLines/>
              <w:spacing w:before="0" w:after="40" w:line="240" w:lineRule="auto"/>
            </w:pPr>
            <w:r>
              <w:rPr>
                <w:rFonts w:ascii="Calibri" w:hAnsi="Calibri"/>
                <w:color w:val="1F2937"/>
                <w:sz w:val="18"/>
              </w:rPr>
              <w:t>None</w:t>
            </w:r>
          </w:p>
        </w:tc>
      </w:tr>
    </w:tbl>
    <w:p>
      <w:pPr>
        <w:spacing w:after="0"/>
      </w:pPr>
    </w:p>
    <w:p>
      <w:pPr>
        <w:keepLines/>
      </w:pPr>
      <w:r>
        <w:t>The nonsingular fit and absence of optimizer warnings support numerical adequacy. The long positive residual tail, however, indicates remaining skewness or high-error cells even after log transformation and aggregation; this is relevant to the diagnostic recommendations below.</w:t>
      </w:r>
    </w:p>
    <w:p>
      <w:pPr>
        <w:pStyle w:val="Heading1"/>
        <w:keepNext/>
      </w:pPr>
      <w:r>
        <w:t>2. Type III fixed-effects interpretation</w:t>
      </w:r>
    </w:p>
    <w:p>
      <w:pPr>
        <w:pStyle w:val="Heading2"/>
        <w:keepNext/>
      </w:pPr>
      <w:r>
        <w:t>2.1 Method, metric, and their interaction</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00"/>
        <w:gridCol w:w="850"/>
        <w:gridCol w:w="1100"/>
        <w:gridCol w:w="1200"/>
        <w:gridCol w:w="1800"/>
        <w:gridCol w:w="2810"/>
      </w:tblGrid>
      <w:tr>
        <w:trPr>
          <w:trHeight w:hRule="atLeast"/>
          <w:tblHeader w:val="true"/>
        </w:trPr>
        <w:tc>
          <w:tcPr>
            <w:tcW w:type="dxa" w:w="1600"/>
            <w:shd w:fill="E8EEF5"/>
            <w:vAlign w:val="center"/>
            <w:tcMar>
              <w:top w:w="80" w:type="dxa"/>
              <w:start w:w="120" w:type="dxa"/>
              <w:bottom w:w="80" w:type="dxa"/>
              <w:end w:w="120" w:type="dxa"/>
            </w:tcMar>
          </w:tcPr>
          <w:p>
            <w:pPr>
              <w:keepLines/>
              <w:spacing w:before="0" w:after="0"/>
            </w:pPr>
            <w:r>
              <w:rPr>
                <w:rFonts w:ascii="Calibri" w:hAnsi="Calibri"/>
                <w:b/>
                <w:color w:val="1F4D78"/>
                <w:sz w:val="17"/>
              </w:rPr>
              <w:t>Effect</w:t>
            </w:r>
          </w:p>
        </w:tc>
        <w:tc>
          <w:tcPr>
            <w:tcW w:type="dxa" w:w="850"/>
            <w:shd w:fill="E8EEF5"/>
            <w:vAlign w:val="center"/>
            <w:tcMar>
              <w:top w:w="80" w:type="dxa"/>
              <w:start w:w="120" w:type="dxa"/>
              <w:bottom w:w="80" w:type="dxa"/>
              <w:end w:w="120" w:type="dxa"/>
            </w:tcMar>
          </w:tcPr>
          <w:p>
            <w:pPr>
              <w:keepLines/>
              <w:spacing w:before="0" w:after="0"/>
            </w:pPr>
            <w:r>
              <w:rPr>
                <w:rFonts w:ascii="Calibri" w:hAnsi="Calibri"/>
                <w:b/>
                <w:color w:val="1F4D78"/>
                <w:sz w:val="17"/>
              </w:rPr>
              <w:t>Num df</w:t>
            </w:r>
          </w:p>
        </w:tc>
        <w:tc>
          <w:tcPr>
            <w:tcW w:type="dxa" w:w="1100"/>
            <w:shd w:fill="E8EEF5"/>
            <w:vAlign w:val="center"/>
            <w:tcMar>
              <w:top w:w="80" w:type="dxa"/>
              <w:start w:w="120" w:type="dxa"/>
              <w:bottom w:w="80" w:type="dxa"/>
              <w:end w:w="120" w:type="dxa"/>
            </w:tcMar>
          </w:tcPr>
          <w:p>
            <w:pPr>
              <w:keepLines/>
              <w:spacing w:before="0" w:after="0"/>
            </w:pPr>
            <w:r>
              <w:rPr>
                <w:rFonts w:ascii="Calibri" w:hAnsi="Calibri"/>
                <w:b/>
                <w:color w:val="1F4D78"/>
                <w:sz w:val="17"/>
              </w:rPr>
              <w:t>Den df</w:t>
            </w:r>
          </w:p>
        </w:tc>
        <w:tc>
          <w:tcPr>
            <w:tcW w:type="dxa" w:w="1200"/>
            <w:shd w:fill="E8EEF5"/>
            <w:vAlign w:val="center"/>
            <w:tcMar>
              <w:top w:w="80" w:type="dxa"/>
              <w:start w:w="120" w:type="dxa"/>
              <w:bottom w:w="80" w:type="dxa"/>
              <w:end w:w="120" w:type="dxa"/>
            </w:tcMar>
          </w:tcPr>
          <w:p>
            <w:pPr>
              <w:keepLines/>
              <w:spacing w:before="0" w:after="0"/>
            </w:pPr>
            <w:r>
              <w:rPr>
                <w:rFonts w:ascii="Calibri" w:hAnsi="Calibri"/>
                <w:b/>
                <w:color w:val="1F4D78"/>
                <w:sz w:val="17"/>
              </w:rPr>
              <w:t>F</w:t>
            </w:r>
          </w:p>
        </w:tc>
        <w:tc>
          <w:tcPr>
            <w:tcW w:type="dxa" w:w="1800"/>
            <w:shd w:fill="E8EEF5"/>
            <w:vAlign w:val="center"/>
            <w:tcMar>
              <w:top w:w="80" w:type="dxa"/>
              <w:start w:w="120" w:type="dxa"/>
              <w:bottom w:w="80" w:type="dxa"/>
              <w:end w:w="120" w:type="dxa"/>
            </w:tcMar>
          </w:tcPr>
          <w:p>
            <w:pPr>
              <w:keepLines/>
              <w:spacing w:before="0" w:after="0"/>
            </w:pPr>
            <w:r>
              <w:rPr>
                <w:rFonts w:ascii="Calibri" w:hAnsi="Calibri"/>
                <w:b/>
                <w:color w:val="1F4D78"/>
                <w:sz w:val="17"/>
              </w:rPr>
              <w:t>p</w:t>
            </w:r>
          </w:p>
        </w:tc>
        <w:tc>
          <w:tcPr>
            <w:tcW w:type="dxa" w:w="2810"/>
            <w:shd w:fill="E8EEF5"/>
            <w:vAlign w:val="center"/>
            <w:tcMar>
              <w:top w:w="80" w:type="dxa"/>
              <w:start w:w="120" w:type="dxa"/>
              <w:bottom w:w="80" w:type="dxa"/>
              <w:end w:w="120" w:type="dxa"/>
            </w:tcMar>
          </w:tcPr>
          <w:p>
            <w:pPr>
              <w:keepLines/>
              <w:spacing w:before="0" w:after="0"/>
            </w:pPr>
            <w:r>
              <w:rPr>
                <w:rFonts w:ascii="Calibri" w:hAnsi="Calibri"/>
                <w:b/>
                <w:color w:val="1F4D78"/>
                <w:sz w:val="17"/>
              </w:rPr>
              <w:t>Interpretation</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method</w:t>
            </w:r>
          </w:p>
        </w:tc>
        <w:tc>
          <w:tcPr>
            <w:tcW w:type="dxa" w:w="850"/>
            <w:vAlign w:val="top"/>
            <w:tcMar>
              <w:top w:w="80" w:type="dxa"/>
              <w:start w:w="120" w:type="dxa"/>
              <w:bottom w:w="80" w:type="dxa"/>
              <w:end w:w="120" w:type="dxa"/>
            </w:tcMar>
          </w:tcPr>
          <w:p>
            <w:pPr>
              <w:keepLines/>
              <w:spacing w:before="0" w:after="40" w:line="240" w:lineRule="auto"/>
            </w:pPr>
            <w:r>
              <w:rPr>
                <w:rFonts w:ascii="Calibri" w:hAnsi="Calibri"/>
                <w:color w:val="1F2937"/>
                <w:sz w:val="17"/>
              </w:rPr>
              <w:t>4</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7"/>
              </w:rPr>
              <w:t>279930</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7"/>
              </w:rPr>
              <w:t>764.28</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&lt;2.2 x 10^-16</w:t>
            </w:r>
          </w:p>
        </w:tc>
        <w:tc>
          <w:tcPr>
            <w:tcW w:type="dxa" w:w="2810"/>
            <w:vAlign w:val="top"/>
            <w:tcMar>
              <w:top w:w="80" w:type="dxa"/>
              <w:start w:w="120" w:type="dxa"/>
              <w:bottom w:w="80" w:type="dxa"/>
              <w:end w:w="120" w:type="dxa"/>
            </w:tcMar>
          </w:tcPr>
          <w:p>
            <w:pPr>
              <w:keepLines/>
              <w:spacing w:before="0" w:after="40" w:line="240" w:lineRule="auto"/>
            </w:pPr>
            <w:r>
              <w:rPr>
                <w:rFonts w:ascii="Calibri" w:hAnsi="Calibri"/>
                <w:color w:val="1F2937"/>
                <w:sz w:val="17"/>
              </w:rPr>
              <w:t>Methods differ after averaging across metrics</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metric</w:t>
            </w:r>
          </w:p>
        </w:tc>
        <w:tc>
          <w:tcPr>
            <w:tcW w:type="dxa" w:w="850"/>
            <w:vAlign w:val="top"/>
            <w:tcMar>
              <w:top w:w="80" w:type="dxa"/>
              <w:start w:w="120" w:type="dxa"/>
              <w:bottom w:w="80" w:type="dxa"/>
              <w:end w:w="120" w:type="dxa"/>
            </w:tcMar>
          </w:tcPr>
          <w:p>
            <w:pPr>
              <w:keepLines/>
              <w:spacing w:before="0" w:after="40" w:line="240" w:lineRule="auto"/>
            </w:pPr>
            <w:r>
              <w:rPr>
                <w:rFonts w:ascii="Calibri" w:hAnsi="Calibri"/>
                <w:color w:val="1F2937"/>
                <w:sz w:val="17"/>
              </w:rPr>
              <w:t>2</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7"/>
              </w:rPr>
              <w:t>279930</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7"/>
              </w:rPr>
              <w:t>379060</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&lt;2.2 x 10^-16</w:t>
            </w:r>
          </w:p>
        </w:tc>
        <w:tc>
          <w:tcPr>
            <w:tcW w:type="dxa" w:w="2810"/>
            <w:vAlign w:val="top"/>
            <w:tcMar>
              <w:top w:w="80" w:type="dxa"/>
              <w:start w:w="120" w:type="dxa"/>
              <w:bottom w:w="80" w:type="dxa"/>
              <w:end w:w="120" w:type="dxa"/>
            </w:tcMar>
          </w:tcPr>
          <w:p>
            <w:pPr>
              <w:keepLines/>
              <w:spacing w:before="0" w:after="40" w:line="240" w:lineRule="auto"/>
            </w:pPr>
            <w:r>
              <w:rPr>
                <w:rFonts w:ascii="Calibri" w:hAnsi="Calibri"/>
                <w:color w:val="1F2937"/>
                <w:sz w:val="17"/>
              </w:rPr>
              <w:t>Error definitions have very different fitted levels</w:t>
            </w:r>
          </w:p>
        </w:tc>
      </w:tr>
      <w:tr>
        <w:trPr>
          <w:cantSplit/>
        </w:trPr>
        <w:tc>
          <w:tcPr>
            <w:tcW w:type="dxa" w:w="16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method x metric</w:t>
            </w:r>
          </w:p>
        </w:tc>
        <w:tc>
          <w:tcPr>
            <w:tcW w:type="dxa" w:w="850"/>
            <w:vAlign w:val="top"/>
            <w:tcMar>
              <w:top w:w="80" w:type="dxa"/>
              <w:start w:w="120" w:type="dxa"/>
              <w:bottom w:w="80" w:type="dxa"/>
              <w:end w:w="120" w:type="dxa"/>
            </w:tcMar>
          </w:tcPr>
          <w:p>
            <w:pPr>
              <w:keepLines/>
              <w:spacing w:before="0" w:after="40" w:line="240" w:lineRule="auto"/>
            </w:pPr>
            <w:r>
              <w:rPr>
                <w:rFonts w:ascii="Calibri" w:hAnsi="Calibri"/>
                <w:color w:val="1F2937"/>
                <w:sz w:val="17"/>
              </w:rPr>
              <w:t>8</w:t>
            </w:r>
          </w:p>
        </w:tc>
        <w:tc>
          <w:tcPr>
            <w:tcW w:type="dxa" w:w="1100"/>
            <w:vAlign w:val="top"/>
            <w:tcMar>
              <w:top w:w="80" w:type="dxa"/>
              <w:start w:w="120" w:type="dxa"/>
              <w:bottom w:w="80" w:type="dxa"/>
              <w:end w:w="120" w:type="dxa"/>
            </w:tcMar>
          </w:tcPr>
          <w:p>
            <w:pPr>
              <w:keepLines/>
              <w:spacing w:before="0" w:after="40" w:line="240" w:lineRule="auto"/>
            </w:pPr>
            <w:r>
              <w:rPr>
                <w:rFonts w:ascii="Calibri" w:hAnsi="Calibri"/>
                <w:color w:val="1F2937"/>
                <w:sz w:val="17"/>
              </w:rPr>
              <w:t>279930</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7"/>
              </w:rPr>
              <w:t>516.56</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&lt;2.2 x 10^-16</w:t>
            </w:r>
          </w:p>
        </w:tc>
        <w:tc>
          <w:tcPr>
            <w:tcW w:type="dxa" w:w="2810"/>
            <w:vAlign w:val="top"/>
            <w:tcMar>
              <w:top w:w="80" w:type="dxa"/>
              <w:start w:w="120" w:type="dxa"/>
              <w:bottom w:w="80" w:type="dxa"/>
              <w:end w:w="120" w:type="dxa"/>
            </w:tcMar>
          </w:tcPr>
          <w:p>
            <w:pPr>
              <w:keepLines/>
              <w:spacing w:before="0" w:after="40" w:line="240" w:lineRule="auto"/>
            </w:pPr>
            <w:r>
              <w:rPr>
                <w:rFonts w:ascii="Calibri" w:hAnsi="Calibri"/>
                <w:color w:val="1F2937"/>
                <w:sz w:val="17"/>
              </w:rPr>
              <w:t>Method gaps and rankings depend on metric</w:t>
            </w:r>
          </w:p>
        </w:tc>
      </w:tr>
    </w:tbl>
    <w:p>
      <w:pPr>
        <w:spacing w:after="0"/>
      </w:pPr>
    </w:p>
    <w:p>
      <w:pPr>
        <w:keepLines/>
      </w:pPr>
      <w:r>
        <w:t>The significant method-by-metric interaction means that the difference between any two methods is not constant across RMSE, L1, and Linf. It does not merely indicate different absolute metric scales. The EMM contrasts reveal a genuine crossover: relative to method ii, method i has higher error for RMSE and Linf but lower error for L1. Therefore, an overall method main effect is an average of scientifically distinct comparisons.</w:t>
      </w:r>
    </w:p>
    <w:p>
      <w:pPr>
        <w:keepLines/>
      </w:pPr>
      <w:r>
        <w:t>The enormous metric F-statistic is partly expected because L1, RMSE, and Linf measure different norms and occupy different numerical ranges even after log(1 + error). It should not be interpreted as showing that one metric is intrinsically more valid. The inferential focus is the method-by-metric interaction and the metric-specific method contrasts.</w:t>
      </w:r>
    </w:p>
    <w:p>
      <w:pPr>
        <w:pStyle w:val="Heading2"/>
        <w:keepNext/>
      </w:pPr>
      <w:r>
        <w:t>2.2 Experimental factor influence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650"/>
        <w:gridCol w:w="1500"/>
        <w:gridCol w:w="1250"/>
        <w:gridCol w:w="1200"/>
        <w:gridCol w:w="1700"/>
        <w:gridCol w:w="3060"/>
      </w:tblGrid>
      <w:tr>
        <w:trPr>
          <w:trHeight w:hRule="atLeast"/>
          <w:tblHeader w:val="true"/>
        </w:trPr>
        <w:tc>
          <w:tcPr>
            <w:tcW w:type="dxa" w:w="650"/>
            <w:shd w:fill="E8EEF5"/>
            <w:vAlign w:val="center"/>
            <w:tcMar>
              <w:top w:w="80" w:type="dxa"/>
              <w:start w:w="120" w:type="dxa"/>
              <w:bottom w:w="80" w:type="dxa"/>
              <w:end w:w="120" w:type="dxa"/>
            </w:tcMar>
          </w:tcPr>
          <w:p>
            <w:pPr>
              <w:keepLines/>
              <w:spacing w:before="0" w:after="0"/>
            </w:pPr>
            <w:r>
              <w:rPr>
                <w:rFonts w:ascii="Calibri" w:hAnsi="Calibri"/>
                <w:b/>
                <w:color w:val="1F4D78"/>
                <w:sz w:val="16"/>
              </w:rPr>
              <w:t>Rank</w:t>
            </w:r>
          </w:p>
        </w:tc>
        <w:tc>
          <w:tcPr>
            <w:tcW w:type="dxa" w:w="1500"/>
            <w:shd w:fill="E8EEF5"/>
            <w:vAlign w:val="center"/>
            <w:tcMar>
              <w:top w:w="80" w:type="dxa"/>
              <w:start w:w="120" w:type="dxa"/>
              <w:bottom w:w="80" w:type="dxa"/>
              <w:end w:w="120" w:type="dxa"/>
            </w:tcMar>
          </w:tcPr>
          <w:p>
            <w:pPr>
              <w:keepLines/>
              <w:spacing w:before="0" w:after="0"/>
            </w:pPr>
            <w:r>
              <w:rPr>
                <w:rFonts w:ascii="Calibri" w:hAnsi="Calibri"/>
                <w:b/>
                <w:color w:val="1F4D78"/>
                <w:sz w:val="16"/>
              </w:rPr>
              <w:t>Factor</w:t>
            </w:r>
          </w:p>
        </w:tc>
        <w:tc>
          <w:tcPr>
            <w:tcW w:type="dxa" w:w="1250"/>
            <w:shd w:fill="E8EEF5"/>
            <w:vAlign w:val="center"/>
            <w:tcMar>
              <w:top w:w="80" w:type="dxa"/>
              <w:start w:w="120" w:type="dxa"/>
              <w:bottom w:w="80" w:type="dxa"/>
              <w:end w:w="120" w:type="dxa"/>
            </w:tcMar>
          </w:tcPr>
          <w:p>
            <w:pPr>
              <w:keepLines/>
              <w:spacing w:before="0" w:after="0"/>
            </w:pPr>
            <w:r>
              <w:rPr>
                <w:rFonts w:ascii="Calibri" w:hAnsi="Calibri"/>
                <w:b/>
                <w:color w:val="1F4D78"/>
                <w:sz w:val="16"/>
              </w:rPr>
              <w:t>df</w:t>
            </w:r>
          </w:p>
        </w:tc>
        <w:tc>
          <w:tcPr>
            <w:tcW w:type="dxa" w:w="1200"/>
            <w:shd w:fill="E8EEF5"/>
            <w:vAlign w:val="center"/>
            <w:tcMar>
              <w:top w:w="80" w:type="dxa"/>
              <w:start w:w="120" w:type="dxa"/>
              <w:bottom w:w="80" w:type="dxa"/>
              <w:end w:w="120" w:type="dxa"/>
            </w:tcMar>
          </w:tcPr>
          <w:p>
            <w:pPr>
              <w:keepLines/>
              <w:spacing w:before="0" w:after="0"/>
            </w:pPr>
            <w:r>
              <w:rPr>
                <w:rFonts w:ascii="Calibri" w:hAnsi="Calibri"/>
                <w:b/>
                <w:color w:val="1F4D78"/>
                <w:sz w:val="16"/>
              </w:rPr>
              <w:t>F</w:t>
            </w:r>
          </w:p>
        </w:tc>
        <w:tc>
          <w:tcPr>
            <w:tcW w:type="dxa" w:w="1700"/>
            <w:shd w:fill="E8EEF5"/>
            <w:vAlign w:val="center"/>
            <w:tcMar>
              <w:top w:w="80" w:type="dxa"/>
              <w:start w:w="120" w:type="dxa"/>
              <w:bottom w:w="80" w:type="dxa"/>
              <w:end w:w="120" w:type="dxa"/>
            </w:tcMar>
          </w:tcPr>
          <w:p>
            <w:pPr>
              <w:keepLines/>
              <w:spacing w:before="0" w:after="0"/>
            </w:pPr>
            <w:r>
              <w:rPr>
                <w:rFonts w:ascii="Calibri" w:hAnsi="Calibri"/>
                <w:b/>
                <w:color w:val="1F4D78"/>
                <w:sz w:val="16"/>
              </w:rPr>
              <w:t>p</w:t>
            </w:r>
          </w:p>
        </w:tc>
        <w:tc>
          <w:tcPr>
            <w:tcW w:type="dxa" w:w="3060"/>
            <w:shd w:fill="E8EEF5"/>
            <w:vAlign w:val="center"/>
            <w:tcMar>
              <w:top w:w="80" w:type="dxa"/>
              <w:start w:w="120" w:type="dxa"/>
              <w:bottom w:w="80" w:type="dxa"/>
              <w:end w:w="120" w:type="dxa"/>
            </w:tcMar>
          </w:tcPr>
          <w:p>
            <w:pPr>
              <w:keepLines/>
              <w:spacing w:before="0" w:after="0"/>
            </w:pPr>
            <w:r>
              <w:rPr>
                <w:rFonts w:ascii="Calibri" w:hAnsi="Calibri"/>
                <w:b/>
                <w:color w:val="1F4D78"/>
                <w:sz w:val="16"/>
              </w:rPr>
              <w:t>Relative influence</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1</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sigma</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11467</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Dominant noise effect</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2</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G</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7753.5</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Second strongest</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3</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mean_nsamp</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641.96</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Moderate secondary effect</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4</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design_block</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376.32</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Distributional influence</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5</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theta_true</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234.51</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Smaller but clear</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6</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theta_CV</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2, 19985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18.02</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1.522 x 10^-8</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Weak practical signal</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7</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p1</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1.254</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0.2628</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Not significant</w:t>
            </w:r>
          </w:p>
        </w:tc>
      </w:tr>
      <w:tr>
        <w:trPr>
          <w:cantSplit/>
        </w:trPr>
        <w:tc>
          <w:tcPr>
            <w:tcW w:type="dxa" w:w="650"/>
            <w:vAlign w:val="top"/>
            <w:tcMar>
              <w:top w:w="80" w:type="dxa"/>
              <w:start w:w="120" w:type="dxa"/>
              <w:bottom w:w="80" w:type="dxa"/>
              <w:end w:w="120" w:type="dxa"/>
            </w:tcMar>
          </w:tcPr>
          <w:p>
            <w:pPr>
              <w:keepLines/>
              <w:spacing w:before="0" w:after="40" w:line="240" w:lineRule="auto"/>
            </w:pPr>
            <w:r>
              <w:rPr>
                <w:rFonts w:ascii="Calibri" w:hAnsi="Calibri"/>
                <w:color w:val="1F2937"/>
                <w:sz w:val="16"/>
              </w:rPr>
              <w:t>8</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p2</w:t>
            </w:r>
          </w:p>
        </w:tc>
        <w:tc>
          <w:tcPr>
            <w:tcW w:type="dxa" w:w="1250"/>
            <w:vAlign w:val="top"/>
            <w:tcMar>
              <w:top w:w="80" w:type="dxa"/>
              <w:start w:w="120" w:type="dxa"/>
              <w:bottom w:w="80" w:type="dxa"/>
              <w:end w:w="120" w:type="dxa"/>
            </w:tcMar>
          </w:tcPr>
          <w:p>
            <w:pPr>
              <w:keepLines/>
              <w:spacing w:before="0" w:after="40" w:line="240" w:lineRule="auto"/>
            </w:pPr>
            <w:r>
              <w:rPr>
                <w:rFonts w:ascii="Calibri" w:hAnsi="Calibri"/>
                <w:color w:val="1F2937"/>
                <w:sz w:val="16"/>
              </w:rPr>
              <w:t>1, 19985</w:t>
            </w:r>
          </w:p>
        </w:tc>
        <w:tc>
          <w:tcPr>
            <w:tcW w:type="dxa" w:w="1200"/>
            <w:vAlign w:val="top"/>
            <w:tcMar>
              <w:top w:w="80" w:type="dxa"/>
              <w:start w:w="120" w:type="dxa"/>
              <w:bottom w:w="80" w:type="dxa"/>
              <w:end w:w="120" w:type="dxa"/>
            </w:tcMar>
          </w:tcPr>
          <w:p>
            <w:pPr>
              <w:keepLines/>
              <w:spacing w:before="0" w:after="40" w:line="240" w:lineRule="auto"/>
            </w:pPr>
            <w:r>
              <w:rPr>
                <w:rFonts w:ascii="Calibri" w:hAnsi="Calibri"/>
                <w:color w:val="1F2937"/>
                <w:sz w:val="16"/>
              </w:rPr>
              <w:t>0.948</w:t>
            </w:r>
          </w:p>
        </w:tc>
        <w:tc>
          <w:tcPr>
            <w:tcW w:type="dxa" w:w="1700"/>
            <w:vAlign w:val="top"/>
            <w:tcMar>
              <w:top w:w="80" w:type="dxa"/>
              <w:start w:w="120" w:type="dxa"/>
              <w:bottom w:w="80" w:type="dxa"/>
              <w:end w:w="120" w:type="dxa"/>
            </w:tcMar>
          </w:tcPr>
          <w:p>
            <w:pPr>
              <w:keepLines/>
              <w:spacing w:before="0" w:after="40" w:line="240" w:lineRule="auto"/>
            </w:pPr>
            <w:r>
              <w:rPr>
                <w:rFonts w:ascii="Calibri" w:hAnsi="Calibri"/>
                <w:color w:val="1F2937"/>
                <w:sz w:val="16"/>
              </w:rPr>
              <w:t>0.3302</w:t>
            </w:r>
          </w:p>
        </w:tc>
        <w:tc>
          <w:tcPr>
            <w:tcW w:type="dxa" w:w="3060"/>
            <w:vAlign w:val="top"/>
            <w:tcMar>
              <w:top w:w="80" w:type="dxa"/>
              <w:start w:w="120" w:type="dxa"/>
              <w:bottom w:w="80" w:type="dxa"/>
              <w:end w:w="120" w:type="dxa"/>
            </w:tcMar>
          </w:tcPr>
          <w:p>
            <w:pPr>
              <w:keepLines/>
              <w:spacing w:before="0" w:after="40" w:line="240" w:lineRule="auto"/>
            </w:pPr>
            <w:r>
              <w:rPr>
                <w:rFonts w:ascii="Calibri" w:hAnsi="Calibri"/>
                <w:color w:val="1F2937"/>
                <w:sz w:val="16"/>
              </w:rPr>
              <w:t>Not significant</w:t>
            </w:r>
          </w:p>
        </w:tc>
      </w:tr>
    </w:tbl>
    <w:p>
      <w:pPr>
        <w:spacing w:after="0"/>
      </w:pPr>
    </w:p>
    <w:p>
      <w:pPr>
        <w:keepLines/>
      </w:pPr>
      <w:r>
        <w:t>Because the six three-level experimental factors share the same numerator and denominator degrees of freedom, their F-statistics are directly useful as a relative influence hierarchy. Sigma's F-statistic was 1.48 times G's, 17.9 times mean_nsamp's, 30.5 times design_block's, 48.9 times theta_true's, and about 636 times theta_CV's. Thus, statistical significance for theta_CV does not imply an influence comparable to sigma or G.</w:t>
      </w:r>
    </w:p>
    <w:p>
      <w:pPr>
        <w:pStyle w:val="Heading2"/>
        <w:keepNext/>
      </w:pPr>
      <w:r>
        <w:t>2.3 Method-by-condition interactions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50"/>
        <w:gridCol w:w="1500"/>
        <w:gridCol w:w="1150"/>
        <w:gridCol w:w="1750"/>
        <w:gridCol w:w="2710"/>
      </w:tblGrid>
      <w:tr>
        <w:trPr>
          <w:trHeight w:hRule="atLeast"/>
          <w:tblHeader w:val="true"/>
        </w:trPr>
        <w:tc>
          <w:tcPr>
            <w:tcW w:type="dxa" w:w="2250"/>
            <w:shd w:fill="E8EEF5"/>
            <w:vAlign w:val="center"/>
            <w:tcMar>
              <w:top w:w="80" w:type="dxa"/>
              <w:start w:w="120" w:type="dxa"/>
              <w:bottom w:w="80" w:type="dxa"/>
              <w:end w:w="120" w:type="dxa"/>
            </w:tcMar>
          </w:tcPr>
          <w:p>
            <w:pPr>
              <w:keepLines/>
              <w:spacing w:before="0" w:after="0"/>
            </w:pPr>
            <w:r>
              <w:rPr>
                <w:rFonts w:ascii="Calibri" w:hAnsi="Calibri"/>
                <w:b/>
                <w:color w:val="1F4D78"/>
                <w:sz w:val="16"/>
              </w:rPr>
              <w:t>Interaction</w:t>
            </w:r>
          </w:p>
        </w:tc>
        <w:tc>
          <w:tcPr>
            <w:tcW w:type="dxa" w:w="1500"/>
            <w:shd w:fill="E8EEF5"/>
            <w:vAlign w:val="center"/>
            <w:tcMar>
              <w:top w:w="80" w:type="dxa"/>
              <w:start w:w="120" w:type="dxa"/>
              <w:bottom w:w="80" w:type="dxa"/>
              <w:end w:w="120" w:type="dxa"/>
            </w:tcMar>
          </w:tcPr>
          <w:p>
            <w:pPr>
              <w:keepLines/>
              <w:spacing w:before="0" w:after="0"/>
            </w:pPr>
            <w:r>
              <w:rPr>
                <w:rFonts w:ascii="Calibri" w:hAnsi="Calibri"/>
                <w:b/>
                <w:color w:val="1F4D78"/>
                <w:sz w:val="16"/>
              </w:rPr>
              <w:t>df</w:t>
            </w:r>
          </w:p>
        </w:tc>
        <w:tc>
          <w:tcPr>
            <w:tcW w:type="dxa" w:w="1150"/>
            <w:shd w:fill="E8EEF5"/>
            <w:vAlign w:val="center"/>
            <w:tcMar>
              <w:top w:w="80" w:type="dxa"/>
              <w:start w:w="120" w:type="dxa"/>
              <w:bottom w:w="80" w:type="dxa"/>
              <w:end w:w="120" w:type="dxa"/>
            </w:tcMar>
          </w:tcPr>
          <w:p>
            <w:pPr>
              <w:keepLines/>
              <w:spacing w:before="0" w:after="0"/>
            </w:pPr>
            <w:r>
              <w:rPr>
                <w:rFonts w:ascii="Calibri" w:hAnsi="Calibri"/>
                <w:b/>
                <w:color w:val="1F4D78"/>
                <w:sz w:val="16"/>
              </w:rPr>
              <w:t>F</w:t>
            </w:r>
          </w:p>
        </w:tc>
        <w:tc>
          <w:tcPr>
            <w:tcW w:type="dxa" w:w="1750"/>
            <w:shd w:fill="E8EEF5"/>
            <w:vAlign w:val="center"/>
            <w:tcMar>
              <w:top w:w="80" w:type="dxa"/>
              <w:start w:w="120" w:type="dxa"/>
              <w:bottom w:w="80" w:type="dxa"/>
              <w:end w:w="120" w:type="dxa"/>
            </w:tcMar>
          </w:tcPr>
          <w:p>
            <w:pPr>
              <w:keepLines/>
              <w:spacing w:before="0" w:after="0"/>
            </w:pPr>
            <w:r>
              <w:rPr>
                <w:rFonts w:ascii="Calibri" w:hAnsi="Calibri"/>
                <w:b/>
                <w:color w:val="1F4D78"/>
                <w:sz w:val="16"/>
              </w:rPr>
              <w:t>p</w:t>
            </w:r>
          </w:p>
        </w:tc>
        <w:tc>
          <w:tcPr>
            <w:tcW w:type="dxa" w:w="2710"/>
            <w:shd w:fill="E8EEF5"/>
            <w:vAlign w:val="center"/>
            <w:tcMar>
              <w:top w:w="80" w:type="dxa"/>
              <w:start w:w="120" w:type="dxa"/>
              <w:bottom w:w="80" w:type="dxa"/>
              <w:end w:w="120" w:type="dxa"/>
            </w:tcMar>
          </w:tcPr>
          <w:p>
            <w:pPr>
              <w:keepLines/>
              <w:spacing w:before="0" w:after="0"/>
            </w:pPr>
            <w:r>
              <w:rPr>
                <w:rFonts w:ascii="Calibri" w:hAnsi="Calibri"/>
                <w:b/>
                <w:color w:val="1F4D78"/>
                <w:sz w:val="16"/>
              </w:rPr>
              <w:t>Interpretation</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sigma</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8, 279930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1024.9</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Largest conditional change</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mean_nsamp</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8, 279930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206.59</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Sample-size sensitivity differs</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design_block</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8, 279930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148.62</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Distribution-dependent gaps</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G</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8, 279930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131.60</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G-dependent gaps</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theta_true</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8, 279930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41.15</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&lt;2.2 x 10^-16</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Smaller interaction</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p2</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4, 279930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3.294</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0.01045</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Statistically small</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theta_CV</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8, 279930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1.719</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0.08858</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Not significant</w:t>
            </w:r>
          </w:p>
        </w:tc>
      </w:tr>
      <w:tr>
        <w:trPr>
          <w:cantSplit/>
        </w:trPr>
        <w:tc>
          <w:tcPr>
            <w:tcW w:type="dxa" w:w="2250"/>
            <w:vAlign w:val="top"/>
            <w:tcMar>
              <w:top w:w="80" w:type="dxa"/>
              <w:start w:w="120" w:type="dxa"/>
              <w:bottom w:w="80" w:type="dxa"/>
              <w:end w:w="120" w:type="dxa"/>
            </w:tcMar>
          </w:tcPr>
          <w:p>
            <w:pPr>
              <w:keepLines/>
              <w:spacing w:before="0" w:after="40" w:line="240" w:lineRule="auto"/>
            </w:pPr>
            <w:r>
              <w:rPr>
                <w:rFonts w:ascii="Calibri" w:hAnsi="Calibri"/>
                <w:b/>
                <w:color w:val="1F2937"/>
                <w:sz w:val="16"/>
              </w:rPr>
              <w:t>method x p1</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4, 279930</w:t>
            </w:r>
          </w:p>
        </w:tc>
        <w:tc>
          <w:tcPr>
            <w:tcW w:type="dxa" w:w="1150"/>
            <w:vAlign w:val="top"/>
            <w:tcMar>
              <w:top w:w="80" w:type="dxa"/>
              <w:start w:w="120" w:type="dxa"/>
              <w:bottom w:w="80" w:type="dxa"/>
              <w:end w:w="120" w:type="dxa"/>
            </w:tcMar>
          </w:tcPr>
          <w:p>
            <w:pPr>
              <w:keepLines/>
              <w:spacing w:before="0" w:after="40" w:line="240" w:lineRule="auto"/>
            </w:pPr>
            <w:r>
              <w:rPr>
                <w:rFonts w:ascii="Calibri" w:hAnsi="Calibri"/>
                <w:color w:val="1F2937"/>
                <w:sz w:val="16"/>
              </w:rPr>
              <w:t>0.475</w:t>
            </w:r>
          </w:p>
        </w:tc>
        <w:tc>
          <w:tcPr>
            <w:tcW w:type="dxa" w:w="1750"/>
            <w:vAlign w:val="top"/>
            <w:tcMar>
              <w:top w:w="80" w:type="dxa"/>
              <w:start w:w="120" w:type="dxa"/>
              <w:bottom w:w="80" w:type="dxa"/>
              <w:end w:w="120" w:type="dxa"/>
            </w:tcMar>
          </w:tcPr>
          <w:p>
            <w:pPr>
              <w:keepLines/>
              <w:spacing w:before="0" w:after="40" w:line="240" w:lineRule="auto"/>
            </w:pPr>
            <w:r>
              <w:rPr>
                <w:rFonts w:ascii="Calibri" w:hAnsi="Calibri"/>
                <w:color w:val="1F2937"/>
                <w:sz w:val="16"/>
              </w:rPr>
              <w:t>0.7540</w:t>
            </w:r>
          </w:p>
        </w:tc>
        <w:tc>
          <w:tcPr>
            <w:tcW w:type="dxa" w:w="2710"/>
            <w:vAlign w:val="top"/>
            <w:tcMar>
              <w:top w:w="80" w:type="dxa"/>
              <w:start w:w="120" w:type="dxa"/>
              <w:bottom w:w="80" w:type="dxa"/>
              <w:end w:w="120" w:type="dxa"/>
            </w:tcMar>
          </w:tcPr>
          <w:p>
            <w:pPr>
              <w:keepLines/>
              <w:spacing w:before="0" w:after="40" w:line="240" w:lineRule="auto"/>
            </w:pPr>
            <w:r>
              <w:rPr>
                <w:rFonts w:ascii="Calibri" w:hAnsi="Calibri"/>
                <w:color w:val="1F2937"/>
                <w:sz w:val="16"/>
              </w:rPr>
              <w:t>Not significant</w:t>
            </w:r>
          </w:p>
        </w:tc>
      </w:tr>
    </w:tbl>
    <w:p>
      <w:pPr>
        <w:spacing w:after="0"/>
      </w:pPr>
    </w:p>
    <w:p>
      <w:pPr>
        <w:keepLines/>
      </w:pPr>
      <w:r>
        <w:t>Method-by-sigma was not only significant but larger than the method main-effect F-statistic, indicating substantial differential sensitivity to observation-error scale. Method-by-sample-size was the next largest conditional effect. In contrast, theta_CV and p1 provided no evidence of method-specific variation, and the p2 interaction was statistically detectable but numerically minor.</w:t>
      </w:r>
    </w:p>
    <w:p>
      <w:r>
        <w:br w:type="page"/>
      </w:r>
    </w:p>
    <w:p>
      <w:pPr>
        <w:pStyle w:val="Heading1"/>
        <w:keepNext/>
      </w:pPr>
      <w:r>
        <w:t>3. Estimated marginal means and method comparisons</w:t>
      </w:r>
    </w:p>
    <w:p>
      <w:pPr>
        <w:pStyle w:val="Heading2"/>
        <w:keepNext/>
      </w:pPr>
      <w:r>
        <w:t>3.1 Reference condition and interpretation</w:t>
      </w:r>
    </w:p>
    <w:p>
      <w:pPr>
        <w:keepLines/>
      </w:pPr>
      <w:r>
        <w:t>The EMMs were evaluated at Poisson sampling, G = 8, theta_true = 2, theta_CV = 0.2, sigma = 0.25, mean_nsamp = 50, p1 = 0.33521, and p2 = 0.33282. Lower fitted log-accuracy indicates better performance. Pairwise p-values were Holm-adjusted within each family of ten method comparisons; EMM degrees of freedom were asymptotic, whereas the Type III ANOVA used Satterthwaite degrees of freedom.</w:t>
      </w:r>
    </w:p>
    <w:tbl>
      <w:tblPr>
        <w:tblStyle w:val="TableGrid"/>
        <w:tblW w:type="dxa" w:w="9360"/>
        <w:jc w:val="left"/>
        <w:tblLayout w:type="fixed"/>
        <w:tblLook w:firstColumn="1" w:firstRow="1" w:lastColumn="0" w:lastRow="0" w:noHBand="0" w:noVBand="1" w:val="04A0"/>
        <w:tblInd w:w="120" w:type="dxa"/>
        <w:tblBorders>
          <w:top w:val="single" w:sz="4" w:space="0" w:color="D4D9E0"/>
          <w:left w:val="single" w:sz="4" w:space="0" w:color="D4D9E0"/>
          <w:bottom w:val="single" w:sz="4" w:space="0" w:color="D4D9E0"/>
          <w:right w:val="single" w:sz="4" w:space="0" w:color="D4D9E0"/>
          <w:insideH w:val="single" w:sz="4" w:space="0" w:color="D4D9E0"/>
          <w:insideV w:val="single" w:sz="4" w:space="0" w:color="D4D9E0"/>
        </w:tblBorders>
      </w:tblPr>
      <w:tblGrid>
        <w:gridCol w:w="9360"/>
      </w:tblGrid>
      <w:tr>
        <w:tc>
          <w:tcPr>
            <w:tcW w:type="dxa" w:w="9360"/>
            <w:shd w:fill="F2F4F7"/>
            <w:tcMar>
              <w:top w:w="80" w:type="dxa"/>
              <w:start w:w="120" w:type="dxa"/>
              <w:bottom w:w="80" w:type="dxa"/>
              <w:end w:w="120" w:type="dxa"/>
            </w:tcMar>
          </w:tcPr>
          <w:p>
            <w:pPr>
              <w:keepLines/>
              <w:spacing w:after="0"/>
            </w:pPr>
            <w:r>
              <w:rPr>
                <w:b/>
                <w:color w:val="1F4D78"/>
              </w:rPr>
              <w:t xml:space="preserve">Scale caution. </w:t>
            </w:r>
            <w:r>
              <w:t>Several RMSE EMMs are negative even though observed log(1 + accuracy) is nonnegative. These are unconstrained linear predictions at the reference condition. They are useful for local contrasts and rankings, but should not be back-transformed into negative raw errors or interpreted as physically possible accuracy values.</w:t>
            </w:r>
          </w:p>
        </w:tc>
      </w:tr>
    </w:tbl>
    <w:p>
      <w:pPr>
        <w:spacing w:after="0"/>
      </w:pPr>
    </w:p>
    <w:p>
      <w:pPr>
        <w:pStyle w:val="Heading2"/>
        <w:keepNext/>
      </w:pPr>
      <w:r>
        <w:t>3.2 Overall method performance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00"/>
        <w:gridCol w:w="1300"/>
        <w:gridCol w:w="1800"/>
        <w:gridCol w:w="5260"/>
      </w:tblGrid>
      <w:tr>
        <w:trPr>
          <w:trHeight w:hRule="atLeast"/>
          <w:tblHeader w:val="true"/>
        </w:trPr>
        <w:tc>
          <w:tcPr>
            <w:tcW w:type="dxa" w:w="1000"/>
            <w:shd w:fill="E8EEF5"/>
            <w:vAlign w:val="center"/>
            <w:tcMar>
              <w:top w:w="80" w:type="dxa"/>
              <w:start w:w="120" w:type="dxa"/>
              <w:bottom w:w="80" w:type="dxa"/>
              <w:end w:w="120" w:type="dxa"/>
            </w:tcMar>
          </w:tcPr>
          <w:p>
            <w:pPr>
              <w:keepLines/>
              <w:spacing w:before="0" w:after="0"/>
            </w:pPr>
            <w:r>
              <w:rPr>
                <w:rFonts w:ascii="Calibri" w:hAnsi="Calibri"/>
                <w:b/>
                <w:color w:val="1F4D78"/>
                <w:sz w:val="17"/>
              </w:rPr>
              <w:t>Method</w:t>
            </w:r>
          </w:p>
        </w:tc>
        <w:tc>
          <w:tcPr>
            <w:tcW w:type="dxa" w:w="1300"/>
            <w:shd w:fill="E8EEF5"/>
            <w:vAlign w:val="center"/>
            <w:tcMar>
              <w:top w:w="80" w:type="dxa"/>
              <w:start w:w="120" w:type="dxa"/>
              <w:bottom w:w="80" w:type="dxa"/>
              <w:end w:w="120" w:type="dxa"/>
            </w:tcMar>
          </w:tcPr>
          <w:p>
            <w:pPr>
              <w:keepLines/>
              <w:spacing w:before="0" w:after="0"/>
            </w:pPr>
            <w:r>
              <w:rPr>
                <w:rFonts w:ascii="Calibri" w:hAnsi="Calibri"/>
                <w:b/>
                <w:color w:val="1F4D78"/>
                <w:sz w:val="17"/>
              </w:rPr>
              <w:t>EMM</w:t>
            </w:r>
          </w:p>
        </w:tc>
        <w:tc>
          <w:tcPr>
            <w:tcW w:type="dxa" w:w="1800"/>
            <w:shd w:fill="E8EEF5"/>
            <w:vAlign w:val="center"/>
            <w:tcMar>
              <w:top w:w="80" w:type="dxa"/>
              <w:start w:w="120" w:type="dxa"/>
              <w:bottom w:w="80" w:type="dxa"/>
              <w:end w:w="120" w:type="dxa"/>
            </w:tcMar>
          </w:tcPr>
          <w:p>
            <w:pPr>
              <w:keepLines/>
              <w:spacing w:before="0" w:after="0"/>
            </w:pPr>
            <w:r>
              <w:rPr>
                <w:rFonts w:ascii="Calibri" w:hAnsi="Calibri"/>
                <w:b/>
                <w:color w:val="1F4D78"/>
                <w:sz w:val="17"/>
              </w:rPr>
              <w:t>Overall class</w:t>
            </w:r>
          </w:p>
        </w:tc>
        <w:tc>
          <w:tcPr>
            <w:tcW w:type="dxa" w:w="5260"/>
            <w:shd w:fill="E8EEF5"/>
            <w:vAlign w:val="center"/>
            <w:tcMar>
              <w:top w:w="80" w:type="dxa"/>
              <w:start w:w="120" w:type="dxa"/>
              <w:bottom w:w="80" w:type="dxa"/>
              <w:end w:w="120" w:type="dxa"/>
            </w:tcMar>
          </w:tcPr>
          <w:p>
            <w:pPr>
              <w:keepLines/>
              <w:spacing w:before="0" w:after="0"/>
            </w:pPr>
            <w:r>
              <w:rPr>
                <w:rFonts w:ascii="Calibri" w:hAnsi="Calibri"/>
                <w:b/>
                <w:color w:val="1F4D78"/>
                <w:sz w:val="17"/>
              </w:rPr>
              <w:t>Holm-adjusted synthesis</w:t>
            </w:r>
          </w:p>
        </w:tc>
      </w:tr>
      <w:tr>
        <w:trPr>
          <w:cantSplit/>
        </w:trPr>
        <w:tc>
          <w:tcPr>
            <w:tcW w:type="dxa" w:w="1000"/>
            <w:vAlign w:val="top"/>
            <w:tcMar>
              <w:top w:w="80" w:type="dxa"/>
              <w:start w:w="120" w:type="dxa"/>
              <w:bottom w:w="80" w:type="dxa"/>
              <w:end w:w="120" w:type="dxa"/>
            </w:tcMar>
          </w:tcPr>
          <w:p>
            <w:pPr>
              <w:keepLines/>
              <w:spacing w:before="0" w:after="40" w:line="240" w:lineRule="auto"/>
            </w:pPr>
            <w:r>
              <w:rPr>
                <w:rFonts w:ascii="Calibri" w:hAnsi="Calibri"/>
                <w:b/>
                <w:color w:val="1F2937"/>
                <w:sz w:val="17"/>
              </w:rPr>
              <w:t>iii</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7"/>
              </w:rPr>
              <w:t>0.0349</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Leading</w:t>
            </w:r>
          </w:p>
        </w:tc>
        <w:tc>
          <w:tcPr>
            <w:tcW w:type="dxa" w:w="5260"/>
            <w:vAlign w:val="top"/>
            <w:tcMar>
              <w:top w:w="80" w:type="dxa"/>
              <w:start w:w="120" w:type="dxa"/>
              <w:bottom w:w="80" w:type="dxa"/>
              <w:end w:w="120" w:type="dxa"/>
            </w:tcMar>
          </w:tcPr>
          <w:p>
            <w:pPr>
              <w:keepLines/>
              <w:spacing w:before="0" w:after="40" w:line="240" w:lineRule="auto"/>
            </w:pPr>
            <w:r>
              <w:rPr>
                <w:rFonts w:ascii="Calibri" w:hAnsi="Calibri"/>
                <w:color w:val="1F2937"/>
                <w:sz w:val="17"/>
              </w:rPr>
              <w:t>Tied with iv; better than v, i, and ii</w:t>
            </w:r>
          </w:p>
        </w:tc>
      </w:tr>
      <w:tr>
        <w:trPr>
          <w:cantSplit/>
        </w:trPr>
        <w:tc>
          <w:tcPr>
            <w:tcW w:type="dxa" w:w="1000"/>
            <w:vAlign w:val="top"/>
            <w:tcMar>
              <w:top w:w="80" w:type="dxa"/>
              <w:start w:w="120" w:type="dxa"/>
              <w:bottom w:w="80" w:type="dxa"/>
              <w:end w:w="120" w:type="dxa"/>
            </w:tcMar>
          </w:tcPr>
          <w:p>
            <w:pPr>
              <w:keepLines/>
              <w:spacing w:before="0" w:after="40" w:line="240" w:lineRule="auto"/>
            </w:pPr>
            <w:r>
              <w:rPr>
                <w:rFonts w:ascii="Calibri" w:hAnsi="Calibri"/>
                <w:b/>
                <w:color w:val="1F2937"/>
                <w:sz w:val="17"/>
              </w:rPr>
              <w:t>iv</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7"/>
              </w:rPr>
              <w:t>0.0353</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Leading</w:t>
            </w:r>
          </w:p>
        </w:tc>
        <w:tc>
          <w:tcPr>
            <w:tcW w:type="dxa" w:w="5260"/>
            <w:vAlign w:val="top"/>
            <w:tcMar>
              <w:top w:w="80" w:type="dxa"/>
              <w:start w:w="120" w:type="dxa"/>
              <w:bottom w:w="80" w:type="dxa"/>
              <w:end w:w="120" w:type="dxa"/>
            </w:tcMar>
          </w:tcPr>
          <w:p>
            <w:pPr>
              <w:keepLines/>
              <w:spacing w:before="0" w:after="40" w:line="240" w:lineRule="auto"/>
            </w:pPr>
            <w:r>
              <w:rPr>
                <w:rFonts w:ascii="Calibri" w:hAnsi="Calibri"/>
                <w:color w:val="1F2937"/>
                <w:sz w:val="17"/>
              </w:rPr>
              <w:t>Tied with iii; better than v, i, and ii</w:t>
            </w:r>
          </w:p>
        </w:tc>
      </w:tr>
      <w:tr>
        <w:trPr>
          <w:cantSplit/>
        </w:trPr>
        <w:tc>
          <w:tcPr>
            <w:tcW w:type="dxa" w:w="1000"/>
            <w:vAlign w:val="top"/>
            <w:tcMar>
              <w:top w:w="80" w:type="dxa"/>
              <w:start w:w="120" w:type="dxa"/>
              <w:bottom w:w="80" w:type="dxa"/>
              <w:end w:w="120" w:type="dxa"/>
            </w:tcMar>
          </w:tcPr>
          <w:p>
            <w:pPr>
              <w:keepLines/>
              <w:spacing w:before="0" w:after="40" w:line="240" w:lineRule="auto"/>
            </w:pPr>
            <w:r>
              <w:rPr>
                <w:rFonts w:ascii="Calibri" w:hAnsi="Calibri"/>
                <w:b/>
                <w:color w:val="1F2937"/>
                <w:sz w:val="17"/>
              </w:rPr>
              <w:t>v</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7"/>
              </w:rPr>
              <w:t>0.0370</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Close third</w:t>
            </w:r>
          </w:p>
        </w:tc>
        <w:tc>
          <w:tcPr>
            <w:tcW w:type="dxa" w:w="5260"/>
            <w:vAlign w:val="top"/>
            <w:tcMar>
              <w:top w:w="80" w:type="dxa"/>
              <w:start w:w="120" w:type="dxa"/>
              <w:bottom w:w="80" w:type="dxa"/>
              <w:end w:w="120" w:type="dxa"/>
            </w:tcMar>
          </w:tcPr>
          <w:p>
            <w:pPr>
              <w:keepLines/>
              <w:spacing w:before="0" w:after="40" w:line="240" w:lineRule="auto"/>
            </w:pPr>
            <w:r>
              <w:rPr>
                <w:rFonts w:ascii="Calibri" w:hAnsi="Calibri"/>
                <w:color w:val="1F2937"/>
                <w:sz w:val="17"/>
              </w:rPr>
              <w:t>Worse than iii (p=0.0046) and iv (p=0.0303)</w:t>
            </w:r>
          </w:p>
        </w:tc>
      </w:tr>
      <w:tr>
        <w:trPr>
          <w:cantSplit/>
        </w:trPr>
        <w:tc>
          <w:tcPr>
            <w:tcW w:type="dxa" w:w="1000"/>
            <w:vAlign w:val="top"/>
            <w:tcMar>
              <w:top w:w="80" w:type="dxa"/>
              <w:start w:w="120" w:type="dxa"/>
              <w:bottom w:w="80" w:type="dxa"/>
              <w:end w:w="120" w:type="dxa"/>
            </w:tcMar>
          </w:tcPr>
          <w:p>
            <w:pPr>
              <w:keepLines/>
              <w:spacing w:before="0" w:after="40" w:line="240" w:lineRule="auto"/>
            </w:pPr>
            <w:r>
              <w:rPr>
                <w:rFonts w:ascii="Calibri" w:hAnsi="Calibri"/>
                <w:b/>
                <w:color w:val="1F2937"/>
                <w:sz w:val="17"/>
              </w:rPr>
              <w:t>ii</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7"/>
              </w:rPr>
              <w:t>0.0542</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Inferior group</w:t>
            </w:r>
          </w:p>
        </w:tc>
        <w:tc>
          <w:tcPr>
            <w:tcW w:type="dxa" w:w="5260"/>
            <w:vAlign w:val="top"/>
            <w:tcMar>
              <w:top w:w="80" w:type="dxa"/>
              <w:start w:w="120" w:type="dxa"/>
              <w:bottom w:w="80" w:type="dxa"/>
              <w:end w:w="120" w:type="dxa"/>
            </w:tcMar>
          </w:tcPr>
          <w:p>
            <w:pPr>
              <w:keepLines/>
              <w:spacing w:before="0" w:after="40" w:line="240" w:lineRule="auto"/>
            </w:pPr>
            <w:r>
              <w:rPr>
                <w:rFonts w:ascii="Calibri" w:hAnsi="Calibri"/>
                <w:color w:val="1F2937"/>
                <w:sz w:val="17"/>
              </w:rPr>
              <w:t>Tied with i (p=0.1699); worse than iii-v</w:t>
            </w:r>
          </w:p>
        </w:tc>
      </w:tr>
      <w:tr>
        <w:trPr>
          <w:cantSplit/>
        </w:trPr>
        <w:tc>
          <w:tcPr>
            <w:tcW w:type="dxa" w:w="1000"/>
            <w:vAlign w:val="top"/>
            <w:tcMar>
              <w:top w:w="80" w:type="dxa"/>
              <w:start w:w="120" w:type="dxa"/>
              <w:bottom w:w="80" w:type="dxa"/>
              <w:end w:w="120" w:type="dxa"/>
            </w:tcMar>
          </w:tcPr>
          <w:p>
            <w:pPr>
              <w:keepLines/>
              <w:spacing w:before="0" w:after="40" w:line="240" w:lineRule="auto"/>
            </w:pPr>
            <w:r>
              <w:rPr>
                <w:rFonts w:ascii="Calibri" w:hAnsi="Calibri"/>
                <w:b/>
                <w:color w:val="1F2937"/>
                <w:sz w:val="17"/>
              </w:rPr>
              <w:t>i</w:t>
            </w:r>
          </w:p>
        </w:tc>
        <w:tc>
          <w:tcPr>
            <w:tcW w:type="dxa" w:w="1300"/>
            <w:vAlign w:val="top"/>
            <w:tcMar>
              <w:top w:w="80" w:type="dxa"/>
              <w:start w:w="120" w:type="dxa"/>
              <w:bottom w:w="80" w:type="dxa"/>
              <w:end w:w="120" w:type="dxa"/>
            </w:tcMar>
          </w:tcPr>
          <w:p>
            <w:pPr>
              <w:keepLines/>
              <w:spacing w:before="0" w:after="40" w:line="240" w:lineRule="auto"/>
            </w:pPr>
            <w:r>
              <w:rPr>
                <w:rFonts w:ascii="Calibri" w:hAnsi="Calibri"/>
                <w:color w:val="1F2937"/>
                <w:sz w:val="17"/>
              </w:rPr>
              <w:t>0.0554</w:t>
            </w:r>
          </w:p>
        </w:tc>
        <w:tc>
          <w:tcPr>
            <w:tcW w:type="dxa" w:w="1800"/>
            <w:vAlign w:val="top"/>
            <w:tcMar>
              <w:top w:w="80" w:type="dxa"/>
              <w:start w:w="120" w:type="dxa"/>
              <w:bottom w:w="80" w:type="dxa"/>
              <w:end w:w="120" w:type="dxa"/>
            </w:tcMar>
          </w:tcPr>
          <w:p>
            <w:pPr>
              <w:keepLines/>
              <w:spacing w:before="0" w:after="40" w:line="240" w:lineRule="auto"/>
            </w:pPr>
            <w:r>
              <w:rPr>
                <w:rFonts w:ascii="Calibri" w:hAnsi="Calibri"/>
                <w:color w:val="1F2937"/>
                <w:sz w:val="17"/>
              </w:rPr>
              <w:t>Inferior group</w:t>
            </w:r>
          </w:p>
        </w:tc>
        <w:tc>
          <w:tcPr>
            <w:tcW w:type="dxa" w:w="5260"/>
            <w:vAlign w:val="top"/>
            <w:tcMar>
              <w:top w:w="80" w:type="dxa"/>
              <w:start w:w="120" w:type="dxa"/>
              <w:bottom w:w="80" w:type="dxa"/>
              <w:end w:w="120" w:type="dxa"/>
            </w:tcMar>
          </w:tcPr>
          <w:p>
            <w:pPr>
              <w:keepLines/>
              <w:spacing w:before="0" w:after="40" w:line="240" w:lineRule="auto"/>
            </w:pPr>
            <w:r>
              <w:rPr>
                <w:rFonts w:ascii="Calibri" w:hAnsi="Calibri"/>
                <w:color w:val="1F2937"/>
                <w:sz w:val="17"/>
              </w:rPr>
              <w:t>Tied with ii; worse than iii-v</w:t>
            </w:r>
          </w:p>
        </w:tc>
      </w:tr>
    </w:tbl>
    <w:p>
      <w:pPr>
        <w:spacing w:after="0"/>
      </w:pPr>
    </w:p>
    <w:p>
      <w:pPr>
        <w:keepLines/>
      </w:pPr>
      <w:r>
        <w:t>The globally superior methods are iii and iv. Their EMM difference was only -0.000435 and was not significant (p = 0.4991). Method v was numerically close but statistically separated from both leaders. Methods i and ii were much worse than iii-v and were indistinguishable only after averaging equally over metrics.</w:t>
      </w:r>
    </w:p>
    <w:p>
      <w:pPr>
        <w:pStyle w:val="Heading2"/>
        <w:keepNext/>
      </w:pPr>
      <w:r>
        <w:t>3.3 Metric-specific performance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00"/>
        <w:gridCol w:w="2300"/>
        <w:gridCol w:w="1500"/>
        <w:gridCol w:w="2050"/>
        <w:gridCol w:w="2610"/>
      </w:tblGrid>
      <w:tr>
        <w:trPr>
          <w:trHeight w:hRule="atLeast"/>
          <w:tblHeader w:val="true"/>
        </w:trPr>
        <w:tc>
          <w:tcPr>
            <w:tcW w:type="dxa" w:w="900"/>
            <w:shd w:fill="E8EEF5"/>
            <w:vAlign w:val="center"/>
            <w:tcMar>
              <w:top w:w="80" w:type="dxa"/>
              <w:start w:w="120" w:type="dxa"/>
              <w:bottom w:w="80" w:type="dxa"/>
              <w:end w:w="120" w:type="dxa"/>
            </w:tcMar>
          </w:tcPr>
          <w:p>
            <w:pPr>
              <w:keepLines/>
              <w:spacing w:before="0" w:after="0"/>
            </w:pPr>
            <w:r>
              <w:rPr>
                <w:rFonts w:ascii="Calibri" w:hAnsi="Calibri"/>
                <w:b/>
                <w:color w:val="1F4D78"/>
                <w:sz w:val="16"/>
              </w:rPr>
              <w:t>Metric</w:t>
            </w:r>
          </w:p>
        </w:tc>
        <w:tc>
          <w:tcPr>
            <w:tcW w:type="dxa" w:w="2300"/>
            <w:shd w:fill="E8EEF5"/>
            <w:vAlign w:val="center"/>
            <w:tcMar>
              <w:top w:w="80" w:type="dxa"/>
              <w:start w:w="120" w:type="dxa"/>
              <w:bottom w:w="80" w:type="dxa"/>
              <w:end w:w="120" w:type="dxa"/>
            </w:tcMar>
          </w:tcPr>
          <w:p>
            <w:pPr>
              <w:keepLines/>
              <w:spacing w:before="0" w:after="0"/>
            </w:pPr>
            <w:r>
              <w:rPr>
                <w:rFonts w:ascii="Calibri" w:hAnsi="Calibri"/>
                <w:b/>
                <w:color w:val="1F4D78"/>
                <w:sz w:val="16"/>
              </w:rPr>
              <w:t>Leading pair</w:t>
            </w:r>
          </w:p>
        </w:tc>
        <w:tc>
          <w:tcPr>
            <w:tcW w:type="dxa" w:w="1500"/>
            <w:shd w:fill="E8EEF5"/>
            <w:vAlign w:val="center"/>
            <w:tcMar>
              <w:top w:w="80" w:type="dxa"/>
              <w:start w:w="120" w:type="dxa"/>
              <w:bottom w:w="80" w:type="dxa"/>
              <w:end w:w="120" w:type="dxa"/>
            </w:tcMar>
          </w:tcPr>
          <w:p>
            <w:pPr>
              <w:keepLines/>
              <w:spacing w:before="0" w:after="0"/>
            </w:pPr>
            <w:r>
              <w:rPr>
                <w:rFonts w:ascii="Calibri" w:hAnsi="Calibri"/>
                <w:b/>
                <w:color w:val="1F4D78"/>
                <w:sz w:val="16"/>
              </w:rPr>
              <w:t>Near leader</w:t>
            </w:r>
          </w:p>
        </w:tc>
        <w:tc>
          <w:tcPr>
            <w:tcW w:type="dxa" w:w="2050"/>
            <w:shd w:fill="E8EEF5"/>
            <w:vAlign w:val="center"/>
            <w:tcMar>
              <w:top w:w="80" w:type="dxa"/>
              <w:start w:w="120" w:type="dxa"/>
              <w:bottom w:w="80" w:type="dxa"/>
              <w:end w:w="120" w:type="dxa"/>
            </w:tcMar>
          </w:tcPr>
          <w:p>
            <w:pPr>
              <w:keepLines/>
              <w:spacing w:before="0" w:after="0"/>
            </w:pPr>
            <w:r>
              <w:rPr>
                <w:rFonts w:ascii="Calibri" w:hAnsi="Calibri"/>
                <w:b/>
                <w:color w:val="1F4D78"/>
                <w:sz w:val="16"/>
              </w:rPr>
              <w:t>Inferior methods</w:t>
            </w:r>
          </w:p>
        </w:tc>
        <w:tc>
          <w:tcPr>
            <w:tcW w:type="dxa" w:w="2610"/>
            <w:shd w:fill="E8EEF5"/>
            <w:vAlign w:val="center"/>
            <w:tcMar>
              <w:top w:w="80" w:type="dxa"/>
              <w:start w:w="120" w:type="dxa"/>
              <w:bottom w:w="80" w:type="dxa"/>
              <w:end w:w="120" w:type="dxa"/>
            </w:tcMar>
          </w:tcPr>
          <w:p>
            <w:pPr>
              <w:keepLines/>
              <w:spacing w:before="0" w:after="0"/>
            </w:pPr>
            <w:r>
              <w:rPr>
                <w:rFonts w:ascii="Calibri" w:hAnsi="Calibri"/>
                <w:b/>
                <w:color w:val="1F4D78"/>
                <w:sz w:val="16"/>
              </w:rPr>
              <w:t>Adjusted-comparison pattern</w:t>
            </w:r>
          </w:p>
        </w:tc>
      </w:tr>
      <w:tr>
        <w:trPr>
          <w:cantSplit/>
        </w:trPr>
        <w:tc>
          <w:tcPr>
            <w:tcW w:type="dxa" w:w="900"/>
            <w:vAlign w:val="top"/>
            <w:tcMar>
              <w:top w:w="80" w:type="dxa"/>
              <w:start w:w="120" w:type="dxa"/>
              <w:bottom w:w="80" w:type="dxa"/>
              <w:end w:w="120" w:type="dxa"/>
            </w:tcMar>
          </w:tcPr>
          <w:p>
            <w:pPr>
              <w:keepLines/>
              <w:spacing w:before="0" w:after="40" w:line="240" w:lineRule="auto"/>
            </w:pPr>
            <w:r>
              <w:rPr>
                <w:rFonts w:ascii="Calibri" w:hAnsi="Calibri"/>
                <w:b/>
                <w:color w:val="1F2937"/>
                <w:sz w:val="16"/>
              </w:rPr>
              <w:t>RMSE</w:t>
            </w:r>
          </w:p>
        </w:tc>
        <w:tc>
          <w:tcPr>
            <w:tcW w:type="dxa" w:w="2300"/>
            <w:vAlign w:val="top"/>
            <w:tcMar>
              <w:top w:w="80" w:type="dxa"/>
              <w:start w:w="120" w:type="dxa"/>
              <w:bottom w:w="80" w:type="dxa"/>
              <w:end w:w="120" w:type="dxa"/>
            </w:tcMar>
          </w:tcPr>
          <w:p>
            <w:pPr>
              <w:keepLines/>
              <w:spacing w:before="0" w:after="40" w:line="240" w:lineRule="auto"/>
            </w:pPr>
            <w:r>
              <w:rPr>
                <w:rFonts w:ascii="Calibri" w:hAnsi="Calibri"/>
                <w:color w:val="1F2937"/>
                <w:sz w:val="16"/>
              </w:rPr>
              <w:t>iii (-0.00950); iv (-0.00939)</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v (-0.00729)</w:t>
            </w:r>
          </w:p>
        </w:tc>
        <w:tc>
          <w:tcPr>
            <w:tcW w:type="dxa" w:w="2050"/>
            <w:vAlign w:val="top"/>
            <w:tcMar>
              <w:top w:w="80" w:type="dxa"/>
              <w:start w:w="120" w:type="dxa"/>
              <w:bottom w:w="80" w:type="dxa"/>
              <w:end w:w="120" w:type="dxa"/>
            </w:tcMar>
          </w:tcPr>
          <w:p>
            <w:pPr>
              <w:keepLines/>
              <w:spacing w:before="0" w:after="40" w:line="240" w:lineRule="auto"/>
            </w:pPr>
            <w:r>
              <w:rPr>
                <w:rFonts w:ascii="Calibri" w:hAnsi="Calibri"/>
                <w:color w:val="1F2937"/>
                <w:sz w:val="16"/>
              </w:rPr>
              <w:t>ii (0.00076); i (0.00873)</w:t>
            </w:r>
          </w:p>
        </w:tc>
        <w:tc>
          <w:tcPr>
            <w:tcW w:type="dxa" w:w="2610"/>
            <w:vAlign w:val="top"/>
            <w:tcMar>
              <w:top w:w="80" w:type="dxa"/>
              <w:start w:w="120" w:type="dxa"/>
              <w:bottom w:w="80" w:type="dxa"/>
              <w:end w:w="120" w:type="dxa"/>
            </w:tcMar>
          </w:tcPr>
          <w:p>
            <w:pPr>
              <w:keepLines/>
              <w:spacing w:before="0" w:after="40" w:line="240" w:lineRule="auto"/>
            </w:pPr>
            <w:r>
              <w:rPr>
                <w:rFonts w:ascii="Calibri" w:hAnsi="Calibri"/>
                <w:color w:val="1F2937"/>
                <w:sz w:val="16"/>
              </w:rPr>
              <w:t>iii=iv; both better than v; ii better than i</w:t>
            </w:r>
          </w:p>
        </w:tc>
      </w:tr>
      <w:tr>
        <w:trPr>
          <w:cantSplit/>
        </w:trPr>
        <w:tc>
          <w:tcPr>
            <w:tcW w:type="dxa" w:w="900"/>
            <w:vAlign w:val="top"/>
            <w:tcMar>
              <w:top w:w="80" w:type="dxa"/>
              <w:start w:w="120" w:type="dxa"/>
              <w:bottom w:w="80" w:type="dxa"/>
              <w:end w:w="120" w:type="dxa"/>
            </w:tcMar>
          </w:tcPr>
          <w:p>
            <w:pPr>
              <w:keepLines/>
              <w:spacing w:before="0" w:after="40" w:line="240" w:lineRule="auto"/>
            </w:pPr>
            <w:r>
              <w:rPr>
                <w:rFonts w:ascii="Calibri" w:hAnsi="Calibri"/>
                <w:b/>
                <w:color w:val="1F2937"/>
                <w:sz w:val="16"/>
              </w:rPr>
              <w:t>L1</w:t>
            </w:r>
          </w:p>
        </w:tc>
        <w:tc>
          <w:tcPr>
            <w:tcW w:type="dxa" w:w="2300"/>
            <w:vAlign w:val="top"/>
            <w:tcMar>
              <w:top w:w="80" w:type="dxa"/>
              <w:start w:w="120" w:type="dxa"/>
              <w:bottom w:w="80" w:type="dxa"/>
              <w:end w:w="120" w:type="dxa"/>
            </w:tcMar>
          </w:tcPr>
          <w:p>
            <w:pPr>
              <w:keepLines/>
              <w:spacing w:before="0" w:after="40" w:line="240" w:lineRule="auto"/>
            </w:pPr>
            <w:r>
              <w:rPr>
                <w:rFonts w:ascii="Calibri" w:hAnsi="Calibri"/>
                <w:color w:val="1F2937"/>
                <w:sz w:val="16"/>
              </w:rPr>
              <w:t>iii (0.09989); iv (0.10077)</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v (0.10177)</w:t>
            </w:r>
          </w:p>
        </w:tc>
        <w:tc>
          <w:tcPr>
            <w:tcW w:type="dxa" w:w="2050"/>
            <w:vAlign w:val="top"/>
            <w:tcMar>
              <w:top w:w="80" w:type="dxa"/>
              <w:start w:w="120" w:type="dxa"/>
              <w:bottom w:w="80" w:type="dxa"/>
              <w:end w:w="120" w:type="dxa"/>
            </w:tcMar>
          </w:tcPr>
          <w:p>
            <w:pPr>
              <w:keepLines/>
              <w:spacing w:before="0" w:after="40" w:line="240" w:lineRule="auto"/>
            </w:pPr>
            <w:r>
              <w:rPr>
                <w:rFonts w:ascii="Calibri" w:hAnsi="Calibri"/>
                <w:color w:val="1F2937"/>
                <w:sz w:val="16"/>
              </w:rPr>
              <w:t>i (0.12337); ii (0.13229)</w:t>
            </w:r>
          </w:p>
        </w:tc>
        <w:tc>
          <w:tcPr>
            <w:tcW w:type="dxa" w:w="2610"/>
            <w:vAlign w:val="top"/>
            <w:tcMar>
              <w:top w:w="80" w:type="dxa"/>
              <w:start w:w="120" w:type="dxa"/>
              <w:bottom w:w="80" w:type="dxa"/>
              <w:end w:w="120" w:type="dxa"/>
            </w:tcMar>
          </w:tcPr>
          <w:p>
            <w:pPr>
              <w:keepLines/>
              <w:spacing w:before="0" w:after="40" w:line="240" w:lineRule="auto"/>
            </w:pPr>
            <w:r>
              <w:rPr>
                <w:rFonts w:ascii="Calibri" w:hAnsi="Calibri"/>
                <w:color w:val="1F2937"/>
                <w:sz w:val="16"/>
              </w:rPr>
              <w:t>iii=iv; iv=v; iii better than v; i better than ii</w:t>
            </w:r>
          </w:p>
        </w:tc>
      </w:tr>
      <w:tr>
        <w:trPr>
          <w:cantSplit/>
        </w:trPr>
        <w:tc>
          <w:tcPr>
            <w:tcW w:type="dxa" w:w="900"/>
            <w:vAlign w:val="top"/>
            <w:tcMar>
              <w:top w:w="80" w:type="dxa"/>
              <w:start w:w="120" w:type="dxa"/>
              <w:bottom w:w="80" w:type="dxa"/>
              <w:end w:w="120" w:type="dxa"/>
            </w:tcMar>
          </w:tcPr>
          <w:p>
            <w:pPr>
              <w:keepLines/>
              <w:spacing w:before="0" w:after="40" w:line="240" w:lineRule="auto"/>
            </w:pPr>
            <w:r>
              <w:rPr>
                <w:rFonts w:ascii="Calibri" w:hAnsi="Calibri"/>
                <w:b/>
                <w:color w:val="1F2937"/>
                <w:sz w:val="16"/>
              </w:rPr>
              <w:t>Linf</w:t>
            </w:r>
          </w:p>
        </w:tc>
        <w:tc>
          <w:tcPr>
            <w:tcW w:type="dxa" w:w="2300"/>
            <w:vAlign w:val="top"/>
            <w:tcMar>
              <w:top w:w="80" w:type="dxa"/>
              <w:start w:w="120" w:type="dxa"/>
              <w:bottom w:w="80" w:type="dxa"/>
              <w:end w:w="120" w:type="dxa"/>
            </w:tcMar>
          </w:tcPr>
          <w:p>
            <w:pPr>
              <w:keepLines/>
              <w:spacing w:before="0" w:after="40" w:line="240" w:lineRule="auto"/>
            </w:pPr>
            <w:r>
              <w:rPr>
                <w:rFonts w:ascii="Calibri" w:hAnsi="Calibri"/>
                <w:color w:val="1F2937"/>
                <w:sz w:val="16"/>
              </w:rPr>
              <w:t>iii (0.01426); iv (0.01458)</w:t>
            </w:r>
          </w:p>
        </w:tc>
        <w:tc>
          <w:tcPr>
            <w:tcW w:type="dxa" w:w="1500"/>
            <w:vAlign w:val="top"/>
            <w:tcMar>
              <w:top w:w="80" w:type="dxa"/>
              <w:start w:w="120" w:type="dxa"/>
              <w:bottom w:w="80" w:type="dxa"/>
              <w:end w:w="120" w:type="dxa"/>
            </w:tcMar>
          </w:tcPr>
          <w:p>
            <w:pPr>
              <w:keepLines/>
              <w:spacing w:before="0" w:after="40" w:line="240" w:lineRule="auto"/>
            </w:pPr>
            <w:r>
              <w:rPr>
                <w:rFonts w:ascii="Calibri" w:hAnsi="Calibri"/>
                <w:color w:val="1F2937"/>
                <w:sz w:val="16"/>
              </w:rPr>
              <w:t>v (0.01644)</w:t>
            </w:r>
          </w:p>
        </w:tc>
        <w:tc>
          <w:tcPr>
            <w:tcW w:type="dxa" w:w="2050"/>
            <w:vAlign w:val="top"/>
            <w:tcMar>
              <w:top w:w="80" w:type="dxa"/>
              <w:start w:w="120" w:type="dxa"/>
              <w:bottom w:w="80" w:type="dxa"/>
              <w:end w:w="120" w:type="dxa"/>
            </w:tcMar>
          </w:tcPr>
          <w:p>
            <w:pPr>
              <w:keepLines/>
              <w:spacing w:before="0" w:after="40" w:line="240" w:lineRule="auto"/>
            </w:pPr>
            <w:r>
              <w:rPr>
                <w:rFonts w:ascii="Calibri" w:hAnsi="Calibri"/>
                <w:color w:val="1F2937"/>
                <w:sz w:val="16"/>
              </w:rPr>
              <w:t>ii (0.02969); i (0.03396)</w:t>
            </w:r>
          </w:p>
        </w:tc>
        <w:tc>
          <w:tcPr>
            <w:tcW w:type="dxa" w:w="2610"/>
            <w:vAlign w:val="top"/>
            <w:tcMar>
              <w:top w:w="80" w:type="dxa"/>
              <w:start w:w="120" w:type="dxa"/>
              <w:bottom w:w="80" w:type="dxa"/>
              <w:end w:w="120" w:type="dxa"/>
            </w:tcMar>
          </w:tcPr>
          <w:p>
            <w:pPr>
              <w:keepLines/>
              <w:spacing w:before="0" w:after="40" w:line="240" w:lineRule="auto"/>
            </w:pPr>
            <w:r>
              <w:rPr>
                <w:rFonts w:ascii="Calibri" w:hAnsi="Calibri"/>
                <w:color w:val="1F2937"/>
                <w:sz w:val="16"/>
              </w:rPr>
              <w:t>iii=iv; both better than v; ii better than i</w:t>
            </w:r>
          </w:p>
        </w:tc>
      </w:tr>
    </w:tbl>
    <w:p>
      <w:pPr>
        <w:spacing w:after="0"/>
      </w:pPr>
    </w:p>
    <w:p>
      <w:pPr>
        <w:keepLines/>
      </w:pPr>
      <w:r>
        <w:t>Methods iii and iv are robust to the choice of error metric at the reference condition: they constitute the leading pair for RMSE, L1, and Linf and never differ significantly from each other. Method v is consistently near the leaders but is significantly worse than both for RMSE and Linf; for L1 it is worse than iii but statistically tied with iv. Methods i and ii are strongly metric-dependent: ii outperforms i for RMSE and Linf, whereas i outperforms ii for L1.</w:t>
      </w:r>
    </w:p>
    <w:p>
      <w:pPr>
        <w:keepLines/>
      </w:pPr>
      <w:r>
        <w:t>This comparison demonstrates why the significant method-by-metric interaction matters. Averaging over metrics masks the i-versus-ii crossover and compresses the distinction between the leading methods. Method-specific conclusions should therefore be reported by metric alongside the equally weighted overall average.</w:t>
      </w:r>
    </w:p>
    <w:p>
      <w:pPr>
        <w:pStyle w:val="Heading1"/>
        <w:keepNext/>
      </w:pPr>
      <w:r>
        <w:t>4. Random-effects and hierarchical context</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200"/>
        <w:gridCol w:w="5160"/>
      </w:tblGrid>
      <w:tr>
        <w:trPr>
          <w:trHeight w:hRule="atLeast"/>
          <w:tblHeader w:val="true"/>
        </w:trPr>
        <w:tc>
          <w:tcPr>
            <w:tcW w:type="dxa" w:w="4200"/>
            <w:shd w:fill="E8EEF5"/>
            <w:vAlign w:val="center"/>
            <w:tcMar>
              <w:top w:w="80" w:type="dxa"/>
              <w:start w:w="120" w:type="dxa"/>
              <w:bottom w:w="80" w:type="dxa"/>
              <w:end w:w="120" w:type="dxa"/>
            </w:tcMar>
          </w:tcPr>
          <w:p>
            <w:pPr>
              <w:keepLines/>
              <w:spacing w:before="0" w:after="0"/>
            </w:pPr>
            <w:r>
              <w:rPr>
                <w:rFonts w:ascii="Calibri" w:hAnsi="Calibri"/>
                <w:b/>
                <w:color w:val="1F4D78"/>
                <w:sz w:val="18"/>
              </w:rPr>
              <w:t>Component</w:t>
            </w:r>
          </w:p>
        </w:tc>
        <w:tc>
          <w:tcPr>
            <w:tcW w:type="dxa" w:w="5160"/>
            <w:shd w:fill="E8EEF5"/>
            <w:vAlign w:val="center"/>
            <w:tcMar>
              <w:top w:w="80" w:type="dxa"/>
              <w:start w:w="120" w:type="dxa"/>
              <w:bottom w:w="80" w:type="dxa"/>
              <w:end w:w="120" w:type="dxa"/>
            </w:tcMar>
          </w:tcPr>
          <w:p>
            <w:pPr>
              <w:keepLines/>
              <w:spacing w:before="0" w:after="0"/>
            </w:pPr>
            <w:r>
              <w:rPr>
                <w:rFonts w:ascii="Calibri" w:hAnsi="Calibri"/>
                <w:b/>
                <w:color w:val="1F4D78"/>
                <w:sz w:val="18"/>
              </w:rPr>
              <w:t>Estimate</w:t>
            </w:r>
          </w:p>
        </w:tc>
      </w:tr>
      <w:tr>
        <w:trPr>
          <w:cantSplit/>
        </w:trPr>
        <w:tc>
          <w:tcPr>
            <w:tcW w:type="dxa" w:w="4200"/>
            <w:vAlign w:val="top"/>
            <w:tcMar>
              <w:top w:w="80" w:type="dxa"/>
              <w:start w:w="120" w:type="dxa"/>
              <w:bottom w:w="80" w:type="dxa"/>
              <w:end w:w="120" w:type="dxa"/>
            </w:tcMar>
          </w:tcPr>
          <w:p>
            <w:pPr>
              <w:keepLines/>
              <w:spacing w:before="0" w:after="40" w:line="240" w:lineRule="auto"/>
            </w:pPr>
            <w:r>
              <w:rPr>
                <w:rFonts w:ascii="Calibri" w:hAnsi="Calibri"/>
                <w:b/>
                <w:color w:val="1F2937"/>
                <w:sz w:val="18"/>
              </w:rPr>
              <w:t>simplex_id intercept variance</w:t>
            </w:r>
          </w:p>
        </w:tc>
        <w:tc>
          <w:tcPr>
            <w:tcW w:type="dxa" w:w="5160"/>
            <w:vAlign w:val="top"/>
            <w:tcMar>
              <w:top w:w="80" w:type="dxa"/>
              <w:start w:w="120" w:type="dxa"/>
              <w:bottom w:w="80" w:type="dxa"/>
              <w:end w:w="120" w:type="dxa"/>
            </w:tcMar>
          </w:tcPr>
          <w:p>
            <w:pPr>
              <w:keepLines/>
              <w:spacing w:before="0" w:after="40" w:line="240" w:lineRule="auto"/>
            </w:pPr>
            <w:r>
              <w:rPr>
                <w:rFonts w:ascii="Calibri" w:hAnsi="Calibri"/>
                <w:color w:val="1F2937"/>
                <w:sz w:val="18"/>
              </w:rPr>
              <w:t>0.0009451</w:t>
            </w:r>
          </w:p>
        </w:tc>
      </w:tr>
      <w:tr>
        <w:trPr>
          <w:cantSplit/>
        </w:trPr>
        <w:tc>
          <w:tcPr>
            <w:tcW w:type="dxa" w:w="4200"/>
            <w:vAlign w:val="top"/>
            <w:tcMar>
              <w:top w:w="80" w:type="dxa"/>
              <w:start w:w="120" w:type="dxa"/>
              <w:bottom w:w="80" w:type="dxa"/>
              <w:end w:w="120" w:type="dxa"/>
            </w:tcMar>
          </w:tcPr>
          <w:p>
            <w:pPr>
              <w:keepLines/>
              <w:spacing w:before="0" w:after="40" w:line="240" w:lineRule="auto"/>
            </w:pPr>
            <w:r>
              <w:rPr>
                <w:rFonts w:ascii="Calibri" w:hAnsi="Calibri"/>
                <w:b/>
                <w:color w:val="1F2937"/>
                <w:sz w:val="18"/>
              </w:rPr>
              <w:t>simplex_id intercept SD</w:t>
            </w:r>
          </w:p>
        </w:tc>
        <w:tc>
          <w:tcPr>
            <w:tcW w:type="dxa" w:w="5160"/>
            <w:vAlign w:val="top"/>
            <w:tcMar>
              <w:top w:w="80" w:type="dxa"/>
              <w:start w:w="120" w:type="dxa"/>
              <w:bottom w:w="80" w:type="dxa"/>
              <w:end w:w="120" w:type="dxa"/>
            </w:tcMar>
          </w:tcPr>
          <w:p>
            <w:pPr>
              <w:keepLines/>
              <w:spacing w:before="0" w:after="40" w:line="240" w:lineRule="auto"/>
            </w:pPr>
            <w:r>
              <w:rPr>
                <w:rFonts w:ascii="Calibri" w:hAnsi="Calibri"/>
                <w:color w:val="1F2937"/>
                <w:sz w:val="18"/>
              </w:rPr>
              <w:t>0.03074</w:t>
            </w:r>
          </w:p>
        </w:tc>
      </w:tr>
      <w:tr>
        <w:trPr>
          <w:cantSplit/>
        </w:trPr>
        <w:tc>
          <w:tcPr>
            <w:tcW w:type="dxa" w:w="42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Residual variance</w:t>
            </w:r>
          </w:p>
        </w:tc>
        <w:tc>
          <w:tcPr>
            <w:tcW w:type="dxa" w:w="5160"/>
            <w:vAlign w:val="top"/>
            <w:tcMar>
              <w:top w:w="80" w:type="dxa"/>
              <w:start w:w="120" w:type="dxa"/>
              <w:bottom w:w="80" w:type="dxa"/>
              <w:end w:w="120" w:type="dxa"/>
            </w:tcMar>
          </w:tcPr>
          <w:p>
            <w:pPr>
              <w:keepLines/>
              <w:spacing w:before="0" w:after="40" w:line="240" w:lineRule="auto"/>
            </w:pPr>
            <w:r>
              <w:rPr>
                <w:rFonts w:ascii="Calibri" w:hAnsi="Calibri"/>
                <w:color w:val="1F2937"/>
                <w:sz w:val="18"/>
              </w:rPr>
              <w:t>0.0048181</w:t>
            </w:r>
          </w:p>
        </w:tc>
      </w:tr>
      <w:tr>
        <w:trPr>
          <w:cantSplit/>
        </w:trPr>
        <w:tc>
          <w:tcPr>
            <w:tcW w:type="dxa" w:w="4200"/>
            <w:vAlign w:val="top"/>
            <w:tcMar>
              <w:top w:w="80" w:type="dxa"/>
              <w:start w:w="120" w:type="dxa"/>
              <w:bottom w:w="80" w:type="dxa"/>
              <w:end w:w="120" w:type="dxa"/>
            </w:tcMar>
          </w:tcPr>
          <w:p>
            <w:pPr>
              <w:keepLines/>
              <w:spacing w:before="0" w:after="40" w:line="240" w:lineRule="auto"/>
            </w:pPr>
            <w:r>
              <w:rPr>
                <w:rFonts w:ascii="Calibri" w:hAnsi="Calibri"/>
                <w:b/>
                <w:color w:val="1F2937"/>
                <w:sz w:val="18"/>
              </w:rPr>
              <w:t>Residual SD</w:t>
            </w:r>
          </w:p>
        </w:tc>
        <w:tc>
          <w:tcPr>
            <w:tcW w:type="dxa" w:w="5160"/>
            <w:vAlign w:val="top"/>
            <w:tcMar>
              <w:top w:w="80" w:type="dxa"/>
              <w:start w:w="120" w:type="dxa"/>
              <w:bottom w:w="80" w:type="dxa"/>
              <w:end w:w="120" w:type="dxa"/>
            </w:tcMar>
          </w:tcPr>
          <w:p>
            <w:pPr>
              <w:keepLines/>
              <w:spacing w:before="0" w:after="40" w:line="240" w:lineRule="auto"/>
            </w:pPr>
            <w:r>
              <w:rPr>
                <w:rFonts w:ascii="Calibri" w:hAnsi="Calibri"/>
                <w:color w:val="1F2937"/>
                <w:sz w:val="18"/>
              </w:rPr>
              <w:t>0.06941</w:t>
            </w:r>
          </w:p>
        </w:tc>
      </w:tr>
      <w:tr>
        <w:trPr>
          <w:cantSplit/>
        </w:trPr>
        <w:tc>
          <w:tcPr>
            <w:tcW w:type="dxa" w:w="4200"/>
            <w:vAlign w:val="top"/>
            <w:tcMar>
              <w:top w:w="80" w:type="dxa"/>
              <w:start w:w="120" w:type="dxa"/>
              <w:bottom w:w="80" w:type="dxa"/>
              <w:end w:w="120" w:type="dxa"/>
            </w:tcMar>
          </w:tcPr>
          <w:p>
            <w:pPr>
              <w:keepLines/>
              <w:spacing w:before="0" w:after="40" w:line="240" w:lineRule="auto"/>
            </w:pPr>
            <w:r>
              <w:rPr>
                <w:rFonts w:ascii="Calibri" w:hAnsi="Calibri"/>
                <w:b/>
                <w:color w:val="1F2937"/>
                <w:sz w:val="18"/>
              </w:rPr>
              <w:t>Approximate variance-component ratio</w:t>
            </w:r>
          </w:p>
        </w:tc>
        <w:tc>
          <w:tcPr>
            <w:tcW w:type="dxa" w:w="5160"/>
            <w:vAlign w:val="top"/>
            <w:tcMar>
              <w:top w:w="80" w:type="dxa"/>
              <w:start w:w="120" w:type="dxa"/>
              <w:bottom w:w="80" w:type="dxa"/>
              <w:end w:w="120" w:type="dxa"/>
            </w:tcMar>
          </w:tcPr>
          <w:p>
            <w:pPr>
              <w:keepLines/>
              <w:spacing w:before="0" w:after="40" w:line="240" w:lineRule="auto"/>
            </w:pPr>
            <w:r>
              <w:rPr>
                <w:rFonts w:ascii="Calibri" w:hAnsi="Calibri"/>
                <w:color w:val="1F2937"/>
                <w:sz w:val="18"/>
              </w:rPr>
              <w:t>0.164 (16.4%)</w:t>
            </w:r>
          </w:p>
        </w:tc>
      </w:tr>
    </w:tbl>
    <w:p>
      <w:pPr>
        <w:spacing w:after="0"/>
      </w:pPr>
    </w:p>
    <w:p>
      <w:pPr>
        <w:keepLines/>
      </w:pPr>
      <w:r>
        <w:t>The approximate variance-component ratio, 0.0009451 / (0.0009451 + 0.0048181), is 0.164. This indicates meaningful clustering: simplex environments differ in baseline transformed error, although the reported residual component is about 5.1 times the random-intercept variance. Because prior weights modify cell-level residual precision, 16.4% should be treated as a model-scale contextual ratio rather than an exact observation-level intraclass correlation.</w:t>
      </w:r>
    </w:p>
    <w:p>
      <w:pPr>
        <w:keepLines/>
      </w:pPr>
      <w:r>
        <w:t>The random intercept shifts all method-metric cells within a simplex together. It improves uncertainty estimates by accounting for shared baseline difficulty, but it does not estimate simplex-specific method slopes. Consequently, the model does not directly show that rankings are stable across simplex environments. That question requires random method slopes, random metric slopes, or simplex-specific method contrasts.</w:t>
      </w:r>
    </w:p>
    <w:p>
      <w:pPr>
        <w:pStyle w:val="Heading1"/>
        <w:keepNext/>
      </w:pPr>
      <w:r>
        <w:t>5. Robustness and specialization across experimental factors</w:t>
      </w:r>
    </w:p>
    <w:p>
      <w:pPr>
        <w:keepLines/>
      </w:pPr>
      <w:r>
        <w:t>The EMM results establish robustness across the three error metrics at one reference condition, not across all factorial levels. Strong method-by-sigma, method-by-mean_nsamp, method-by-design_block, and method-by-G tests show that at least some method gaps change with these conditions. Because Code B did not print factor-stratified EMMs, it is not statistically defensible to label any method uniformly best across every factor combination.</w:t>
      </w:r>
    </w:p>
    <w:p>
      <w:pPr>
        <w:keepLines/>
      </w:pPr>
      <w:r>
        <w:t>Within the supported scope, methods iii and iv are the most robust: they lead for every metric and are globally tied. Method v is a stable near-leader but is usually separated from iii and iv. Methods i and ii are specialized by error definition, with their relative ordering reversing for L1 versus RMSE and Linf. The largest unresolved specialization is sensitivity to sigma; factor-specific contrasts are needed to determine which method deteriorates least as sigma increases.</w:t>
      </w:r>
    </w:p>
    <w:p>
      <w:pPr>
        <w:pStyle w:val="Heading1"/>
        <w:keepNext/>
      </w:pPr>
      <w:r>
        <w:t>6. Proportion-specific diagnostics</w:t>
      </w:r>
    </w:p>
    <w:p>
      <w:pPr>
        <w:keepLines/>
      </w:pPr>
      <w:r>
        <w:t>Proportion estimates are bounded by 0 and 1 and jointly constrained to a simplex. Their raw-scale variances generally change with the true proportions, and component errors are dependent because proportions sum to one. Aggregating scalar RMSE, L1, and Linf values does not eliminate heteroscedasticity associated with boundary proximity, sample size, or the operating distribution.</w:t>
      </w:r>
    </w:p>
    <w:p>
      <w:pPr>
        <w:keepLines/>
      </w:pPr>
      <w:r>
        <w:t>The log(1 + accuracy) transformation is appropriate for nonnegative right-skewed error measures and reduces the influence of extreme values, but it does not enforce nonnegative fitted means or account for simplex geometry. The negative RMSE EMMs and the scaled residual maximum of 14.29 suggest checking residual-versus-fitted, scale-location, Q-Q, and influence plots by method, metric, sigma, and mean_nsamp.</w:t>
      </w:r>
    </w:p>
    <w:p>
      <w:pPr>
        <w:keepLines/>
      </w:pPr>
      <w:r>
        <w:t>Arcsine-square-root and logit transformations are relevant to individual component proportions, not directly to the three error norms. Logit models also require special treatment of exact zeros and ones. For component-level modeling, additive or isometric log-ratio coordinates are more coherent. For the present scalar errors, reasonable extensions include group-specific residual variances, heteroscedastic mixed models, robust standard errors or bootstrap resampling by simplex, and random method or metric slopes.</w:t>
      </w:r>
    </w:p>
    <w:p>
      <w:pPr>
        <w:pStyle w:val="Heading1"/>
        <w:keepNext/>
      </w:pPr>
      <w:r>
        <w:t>7. Integrated conclusions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3100"/>
        <w:gridCol w:w="3760"/>
      </w:tblGrid>
      <w:tr>
        <w:trPr>
          <w:trHeight w:hRule="atLeast"/>
          <w:tblHeader w:val="true"/>
        </w:trPr>
        <w:tc>
          <w:tcPr>
            <w:tcW w:type="dxa" w:w="2500"/>
            <w:shd w:fill="E8EEF5"/>
            <w:vAlign w:val="center"/>
            <w:tcMar>
              <w:top w:w="80" w:type="dxa"/>
              <w:start w:w="120" w:type="dxa"/>
              <w:bottom w:w="80" w:type="dxa"/>
              <w:end w:w="120" w:type="dxa"/>
            </w:tcMar>
          </w:tcPr>
          <w:p>
            <w:pPr>
              <w:keepLines/>
              <w:spacing w:before="0" w:after="0"/>
            </w:pPr>
            <w:r>
              <w:rPr>
                <w:rFonts w:ascii="Calibri" w:hAnsi="Calibri"/>
                <w:b/>
                <w:color w:val="1F4D78"/>
                <w:sz w:val="17"/>
              </w:rPr>
              <w:t>Question</w:t>
            </w:r>
          </w:p>
        </w:tc>
        <w:tc>
          <w:tcPr>
            <w:tcW w:type="dxa" w:w="3100"/>
            <w:shd w:fill="E8EEF5"/>
            <w:vAlign w:val="center"/>
            <w:tcMar>
              <w:top w:w="80" w:type="dxa"/>
              <w:start w:w="120" w:type="dxa"/>
              <w:bottom w:w="80" w:type="dxa"/>
              <w:end w:w="120" w:type="dxa"/>
            </w:tcMar>
          </w:tcPr>
          <w:p>
            <w:pPr>
              <w:keepLines/>
              <w:spacing w:before="0" w:after="0"/>
            </w:pPr>
            <w:r>
              <w:rPr>
                <w:rFonts w:ascii="Calibri" w:hAnsi="Calibri"/>
                <w:b/>
                <w:color w:val="1F4D78"/>
                <w:sz w:val="17"/>
              </w:rPr>
              <w:t>Conclusion</w:t>
            </w:r>
          </w:p>
        </w:tc>
        <w:tc>
          <w:tcPr>
            <w:tcW w:type="dxa" w:w="3760"/>
            <w:shd w:fill="E8EEF5"/>
            <w:vAlign w:val="center"/>
            <w:tcMar>
              <w:top w:w="80" w:type="dxa"/>
              <w:start w:w="120" w:type="dxa"/>
              <w:bottom w:w="80" w:type="dxa"/>
              <w:end w:w="120" w:type="dxa"/>
            </w:tcMar>
          </w:tcPr>
          <w:p>
            <w:pPr>
              <w:keepLines/>
              <w:spacing w:before="0" w:after="0"/>
            </w:pPr>
            <w:r>
              <w:rPr>
                <w:rFonts w:ascii="Calibri" w:hAnsi="Calibri"/>
                <w:b/>
                <w:color w:val="1F4D78"/>
                <w:sz w:val="17"/>
              </w:rPr>
              <w:t>Numerical basis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Method effect</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Strong</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F=764.28; p&lt;2.2 x 10^-16</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Metric effect</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Dominant</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F=379060; metrics occupy different fitted levels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Method x metric</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Strong</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F=516.56; rankings are metric-dependent</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Experimental hierarchy</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sigma &gt; G &gt; mean_nsamp &gt; design_block &gt; theta_true &gt; theta_CV</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p1 and p2 nonsignificant</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Global leaders</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iii and iv</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Tied; both better than v, i, and ii</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Metric specialists</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i and ii</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Ordering reverses for L1 versus RMSE/Linf</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Hierarchical variance</w:t>
            </w:r>
          </w:p>
        </w:tc>
        <w:tc>
          <w:tcPr>
            <w:tcW w:type="dxa" w:w="3100"/>
            <w:vAlign w:val="top"/>
            <w:tcMar>
              <w:top w:w="80" w:type="dxa"/>
              <w:start w:w="120" w:type="dxa"/>
              <w:bottom w:w="80" w:type="dxa"/>
              <w:end w:w="120" w:type="dxa"/>
            </w:tcMar>
          </w:tcPr>
          <w:p>
            <w:pPr>
              <w:keepLines/>
              <w:spacing w:before="0" w:after="40" w:line="240" w:lineRule="auto"/>
            </w:pPr>
            <w:r>
              <w:rPr>
                <w:rFonts w:ascii="Calibri" w:hAnsi="Calibri"/>
                <w:color w:val="1F2937"/>
                <w:sz w:val="17"/>
              </w:rPr>
              <w:t>Meaningful simplex clustering</w:t>
            </w:r>
          </w:p>
        </w:tc>
        <w:tc>
          <w:tcPr>
            <w:tcW w:type="dxa" w:w="3760"/>
            <w:vAlign w:val="top"/>
            <w:tcMar>
              <w:top w:w="80" w:type="dxa"/>
              <w:start w:w="120" w:type="dxa"/>
              <w:bottom w:w="80" w:type="dxa"/>
              <w:end w:w="120" w:type="dxa"/>
            </w:tcMar>
          </w:tcPr>
          <w:p>
            <w:pPr>
              <w:keepLines/>
              <w:spacing w:before="0" w:after="40" w:line="240" w:lineRule="auto"/>
            </w:pPr>
            <w:r>
              <w:rPr>
                <w:rFonts w:ascii="Calibri" w:hAnsi="Calibri"/>
                <w:color w:val="1F2937"/>
                <w:sz w:val="17"/>
              </w:rPr>
              <w:t>Approximate model-scale ratio 16.4%</w:t>
            </w:r>
          </w:p>
        </w:tc>
      </w:tr>
    </w:tbl>
    <w:p>
      <w:pPr>
        <w:spacing w:after="0"/>
      </w:pPr>
    </w:p>
    <w:p>
      <w:pPr>
        <w:keepLines/>
      </w:pPr>
      <w:r>
        <w:t>In summary, the LMM provides strong evidence that estimation accuracy differs among the five methods and that those differences depend on the error metric. Methods iii and iv form the most defensible leading group, method v is a close but usually inferior alternative, and methods i and ii are substantially worse overall and specialized by metric. Experimental variation in sigma and G has much greater influence than the remaining design factors, while theta_CV and the simplex coordinates have little or no main-effect influence.</w:t>
      </w:r>
    </w:p>
    <w:p>
      <w:pPr>
        <w:keepLines/>
      </w:pPr>
      <w:r>
        <w:t>The random simplex intercept confirms that simulated environments differ meaningfully in baseline difficulty, but does not by itself verify stable rankings across environments. The final robustness claim should therefore be conditional: iii and iv are robust across metrics at the reported reference condition, whereas robustness across all sigma, G, sample-size, and design-block levels remains to be established with stratified EMMs and, ideally, random method slopes.</w:t>
      </w:r>
    </w:p>
    <w:p>
      <w:pPr>
        <w:pStyle w:val="Heading1"/>
        <w:keepNext/>
      </w:pPr>
      <w:r>
        <w:t>8. Qualifications and recommended follow-up</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trHeight w:hRule="atLeast"/>
          <w:tblHeader w:val="true"/>
        </w:trPr>
        <w:tc>
          <w:tcPr>
            <w:tcW w:type="dxa" w:w="2500"/>
            <w:shd w:fill="E8EEF5"/>
            <w:vAlign w:val="center"/>
            <w:tcMar>
              <w:top w:w="80" w:type="dxa"/>
              <w:start w:w="120" w:type="dxa"/>
              <w:bottom w:w="80" w:type="dxa"/>
              <w:end w:w="120" w:type="dxa"/>
            </w:tcMar>
          </w:tcPr>
          <w:p>
            <w:pPr>
              <w:keepLines/>
              <w:spacing w:before="0" w:after="0"/>
            </w:pPr>
            <w:r>
              <w:rPr>
                <w:rFonts w:ascii="Calibri" w:hAnsi="Calibri"/>
                <w:b/>
                <w:color w:val="1F4D78"/>
                <w:sz w:val="17"/>
              </w:rPr>
              <w:t>Issue</w:t>
            </w:r>
          </w:p>
        </w:tc>
        <w:tc>
          <w:tcPr>
            <w:tcW w:type="dxa" w:w="6860"/>
            <w:shd w:fill="E8EEF5"/>
            <w:vAlign w:val="center"/>
            <w:tcMar>
              <w:top w:w="80" w:type="dxa"/>
              <w:start w:w="120" w:type="dxa"/>
              <w:bottom w:w="80" w:type="dxa"/>
              <w:end w:w="120" w:type="dxa"/>
            </w:tcMar>
          </w:tcPr>
          <w:p>
            <w:pPr>
              <w:keepLines/>
              <w:spacing w:before="0" w:after="0"/>
            </w:pPr>
            <w:r>
              <w:rPr>
                <w:rFonts w:ascii="Calibri" w:hAnsi="Calibri"/>
                <w:b/>
                <w:color w:val="1F4D78"/>
                <w:sz w:val="17"/>
              </w:rPr>
              <w:t>Implication</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Model class</w:t>
            </w:r>
          </w:p>
        </w:tc>
        <w:tc>
          <w:tcPr>
            <w:tcW w:type="dxa" w:w="6860"/>
            <w:vAlign w:val="top"/>
            <w:tcMar>
              <w:top w:w="80" w:type="dxa"/>
              <w:start w:w="120" w:type="dxa"/>
              <w:bottom w:w="80" w:type="dxa"/>
              <w:end w:w="120" w:type="dxa"/>
            </w:tcMar>
          </w:tcPr>
          <w:p>
            <w:pPr>
              <w:keepLines/>
              <w:spacing w:before="0" w:after="40" w:line="240" w:lineRule="auto"/>
            </w:pPr>
            <w:r>
              <w:rPr>
                <w:rFonts w:ascii="Calibri" w:hAnsi="Calibri"/>
                <w:color w:val="1F2937"/>
                <w:sz w:val="17"/>
              </w:rPr>
              <w:t>Stacked univariate LMM; no multivariate residual covariance among metrics.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Subsampling</w:t>
            </w:r>
          </w:p>
        </w:tc>
        <w:tc>
          <w:tcPr>
            <w:tcW w:type="dxa" w:w="6860"/>
            <w:vAlign w:val="top"/>
            <w:tcMar>
              <w:top w:w="80" w:type="dxa"/>
              <w:start w:w="120" w:type="dxa"/>
              <w:bottom w:w="80" w:type="dxa"/>
              <w:end w:w="120" w:type="dxa"/>
            </w:tcMar>
          </w:tcPr>
          <w:p>
            <w:pPr>
              <w:keepLines/>
              <w:spacing w:before="0" w:after="40" w:line="240" w:lineRule="auto"/>
            </w:pPr>
            <w:r>
              <w:rPr>
                <w:rFonts w:ascii="Calibri" w:hAnsi="Calibri"/>
                <w:color w:val="1F2937"/>
                <w:sz w:val="17"/>
              </w:rPr>
              <w:t>20,000 of 48,114 simplex groups; sampling uncertainty is not in reported SEs.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EMM scope</w:t>
            </w:r>
          </w:p>
        </w:tc>
        <w:tc>
          <w:tcPr>
            <w:tcW w:type="dxa" w:w="6860"/>
            <w:vAlign w:val="top"/>
            <w:tcMar>
              <w:top w:w="80" w:type="dxa"/>
              <w:start w:w="120" w:type="dxa"/>
              <w:bottom w:w="80" w:type="dxa"/>
              <w:end w:w="120" w:type="dxa"/>
            </w:tcMar>
          </w:tcPr>
          <w:p>
            <w:pPr>
              <w:keepLines/>
              <w:spacing w:before="0" w:after="40" w:line="240" w:lineRule="auto"/>
            </w:pPr>
            <w:r>
              <w:rPr>
                <w:rFonts w:ascii="Calibri" w:hAnsi="Calibri"/>
                <w:color w:val="1F2937"/>
                <w:sz w:val="17"/>
              </w:rPr>
              <w:t>One reference condition; not averaged across all factorial cells.</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EMM inference</w:t>
            </w:r>
          </w:p>
        </w:tc>
        <w:tc>
          <w:tcPr>
            <w:tcW w:type="dxa" w:w="6860"/>
            <w:vAlign w:val="top"/>
            <w:tcMar>
              <w:top w:w="80" w:type="dxa"/>
              <w:start w:w="120" w:type="dxa"/>
              <w:bottom w:w="80" w:type="dxa"/>
              <w:end w:w="120" w:type="dxa"/>
            </w:tcMar>
          </w:tcPr>
          <w:p>
            <w:pPr>
              <w:keepLines/>
              <w:spacing w:before="0" w:after="40" w:line="240" w:lineRule="auto"/>
            </w:pPr>
            <w:r>
              <w:rPr>
                <w:rFonts w:ascii="Calibri" w:hAnsi="Calibri"/>
                <w:color w:val="1F2937"/>
                <w:sz w:val="17"/>
              </w:rPr>
              <w:t>Asymptotic z-tests, whereas Type III tests use Satterthwaite degrees of freedom.</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Prediction support</w:t>
            </w:r>
          </w:p>
        </w:tc>
        <w:tc>
          <w:tcPr>
            <w:tcW w:type="dxa" w:w="6860"/>
            <w:vAlign w:val="top"/>
            <w:tcMar>
              <w:top w:w="80" w:type="dxa"/>
              <w:start w:w="120" w:type="dxa"/>
              <w:bottom w:w="80" w:type="dxa"/>
              <w:end w:w="120" w:type="dxa"/>
            </w:tcMar>
          </w:tcPr>
          <w:p>
            <w:pPr>
              <w:keepLines/>
              <w:spacing w:before="0" w:after="40" w:line="240" w:lineRule="auto"/>
            </w:pPr>
            <w:r>
              <w:rPr>
                <w:rFonts w:ascii="Calibri" w:hAnsi="Calibri"/>
                <w:color w:val="1F2937"/>
                <w:sz w:val="17"/>
              </w:rPr>
              <w:t>Negative RMSE EMMs are outside the response support and should not be back-transformed.</w:t>
            </w:r>
          </w:p>
        </w:tc>
      </w:tr>
      <w:tr>
        <w:trPr>
          <w:cantSplit/>
        </w:trPr>
        <w:tc>
          <w:tcPr>
            <w:tcW w:type="dxa" w:w="2500"/>
            <w:vAlign w:val="top"/>
            <w:tcMar>
              <w:top w:w="80" w:type="dxa"/>
              <w:start w:w="120" w:type="dxa"/>
              <w:bottom w:w="80" w:type="dxa"/>
              <w:end w:w="120" w:type="dxa"/>
            </w:tcMar>
          </w:tcPr>
          <w:p>
            <w:pPr>
              <w:keepLines/>
              <w:spacing w:before="0" w:after="40" w:line="240" w:lineRule="auto"/>
            </w:pPr>
            <w:r>
              <w:rPr>
                <w:rFonts w:ascii="Calibri" w:hAnsi="Calibri"/>
                <w:b/>
                <w:color w:val="1F2937"/>
                <w:sz w:val="17"/>
              </w:rPr>
              <w:t>Random effects</w:t>
            </w:r>
          </w:p>
        </w:tc>
        <w:tc>
          <w:tcPr>
            <w:tcW w:type="dxa" w:w="6860"/>
            <w:vAlign w:val="top"/>
            <w:tcMar>
              <w:top w:w="80" w:type="dxa"/>
              <w:start w:w="120" w:type="dxa"/>
              <w:bottom w:w="80" w:type="dxa"/>
              <w:end w:w="120" w:type="dxa"/>
            </w:tcMar>
          </w:tcPr>
          <w:p>
            <w:pPr>
              <w:keepLines/>
              <w:spacing w:before="0" w:after="40" w:line="240" w:lineRule="auto"/>
            </w:pPr>
            <w:r>
              <w:rPr>
                <w:rFonts w:ascii="Calibri" w:hAnsi="Calibri"/>
                <w:color w:val="1F2937"/>
                <w:sz w:val="17"/>
              </w:rPr>
              <w:t>Random intercept only; no direct test of rank stability across simplex groups.</w:t>
            </w:r>
          </w:p>
        </w:tc>
      </w:tr>
    </w:tbl>
    <w:p>
      <w:pPr>
        <w:spacing w:after="0"/>
      </w:pPr>
    </w:p>
    <w:p>
      <w:pPr>
        <w:keepLines/>
      </w:pPr>
      <w:r>
        <w:t>Recommended follow-up is to compute method EMMs within each metric-by-sigma, metric-by-G, metric-by-mean_nsamp, and metric-by-design_block combination; use multiplicity-adjusted contrasts and practical-equivalence margins; fit random method slopes where computationally feasible; and repeat the simplex-group sample or bootstrap simplex groups to assess ranking stability. A response model that respects nonnegative error support should also be considered if negative fitted means persist.</w:t>
      </w:r>
    </w:p>
    <w:p>
      <w:pPr>
        <w:pStyle w:val="Heading1"/>
        <w:keepNext/>
      </w:pPr>
      <w:r>
        <w:t>Source materials</w:t>
      </w:r>
    </w:p>
    <w:p>
      <w:pPr>
        <w:pStyle w:val="SmallNote"/>
      </w:pPr>
      <w:r>
        <w:t>code-B(8).R - data reduction, weighted LMM specification, Type III tests, EMMs, and diagnostics.</w:t>
      </w:r>
    </w:p>
    <w:p>
      <w:pPr>
        <w:pStyle w:val="SmallNote"/>
      </w:pPr>
      <w:r>
        <w:t>results-code-B(3).txt - model summary, variance components, Satterthwaite ANOVA, and Holm-adjusted comparisons.</w:t>
      </w:r>
    </w:p>
    <w:p>
      <w:pPr>
        <w:pStyle w:val="SmallNote"/>
      </w:pPr>
      <w:r>
        <w:t>summary-results-code-A.docx - visual and structural formatting reference.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6"/>
      </w:rPr>
      <w:t>ESTIMATION ACCURACY | MULTIVARIATE LMM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Statistical Analysis of Multivariate Estimation Accuracy</dc:title>
  <dc:subject>Weighted linear mixed-effects analysis of five proportion estimation methods</dc:subject>
  <dc:creator>OpenAI</dc:creator>
  <cp:keywords>linear mixed model, Satterthwaite, emmeans, estimation accuracy, simplex random effects</cp:keywords>
  <dc:description>generated by python-docx</dc:description>
  <cp:lastModifiedBy/>
  <cp:revision>1</cp:revision>
  <dcterms:created xsi:type="dcterms:W3CDTF">2013-12-23T23:15:00Z</dcterms:created>
  <dcterms:modified xsi:type="dcterms:W3CDTF">2013-12-23T23:15:00Z</dcterms:modified>
  <cp:category/>
</cp:coreProperties>
</file>