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keepNext/>
        <w:spacing w:after="200"/>
      </w:pPr>
      <w:r>
        <w:rPr>
          <w:rFonts w:ascii="Calibri" w:hAnsi="Calibri"/>
          <w:b/>
          <w:color w:val="1F4D78"/>
          <w:sz w:val="50"/>
        </w:rPr>
        <w:t>Formal Statistical Analysis of GAM Estimation Accuracy</w:t>
      </w:r>
    </w:p>
    <w:p>
      <w:pPr>
        <w:keepNext/>
        <w:spacing w:after="360"/>
      </w:pPr>
      <w:r>
        <w:rPr>
          <w:rFonts w:ascii="Calibri" w:hAnsi="Calibri"/>
          <w:color w:val="5B6573"/>
          <w:sz w:val="26"/>
        </w:rPr>
        <w:t>Method-specific simplex surfaces, basis diagnostics, comparative performance, and model adequacy</w:t>
      </w:r>
    </w:p>
    <w:p>
      <w:pPr>
        <w:spacing w:after="560"/>
      </w:pPr>
      <w:r>
        <w:rPr>
          <w:rFonts w:ascii="Calibri" w:hAnsi="Calibri"/>
          <w:color w:val="5B6573"/>
          <w:sz w:val="19"/>
        </w:rPr>
        <w:t>Analysis source: results-code-E.txt and diagnostic plots  |  Script source: code-E.R  |  Prepared 28 August 2026</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5" w:type="dxa"/>
              <w:start w:w="120" w:type="dxa"/>
              <w:bottom w:w="85" w:type="dxa"/>
              <w:end w:w="120" w:type="dxa"/>
            </w:tcMar>
          </w:tcPr>
          <w:p>
            <w:pPr>
              <w:keepLines/>
              <w:spacing w:after="0"/>
            </w:pPr>
            <w:r>
              <w:rPr>
                <w:b/>
                <w:color w:val="1F4D78"/>
              </w:rPr>
              <w:t xml:space="preserve">Central finding. </w:t>
            </w:r>
            <w:r>
              <w:t>The GAM identifies a leading cluster of methods iii, iv, and v; method ii has the highest adjusted error and method i is intermediate. Sigma and G dominate the global response, while every method has a statistically clear nonlinear p1-p2 surface. The basis dimension k = 30 is adequate, but strong right skew and heteroscedasticity show that the Gaussian likelihood is not adequate. In addition, the v-versus-iii model analyzes an unsigned absolute raw difference, not a signed log-ratio, and therefore cannot establish which method is locally superior.</w:t>
            </w:r>
          </w:p>
        </w:tc>
      </w:tr>
    </w:tbl>
    <w:p>
      <w:pPr>
        <w:spacing w:after="0"/>
      </w:pPr>
    </w:p>
    <w:p>
      <w:r>
        <w:br w:type="page"/>
      </w:r>
    </w:p>
    <w:p>
      <w:pPr>
        <w:pStyle w:val="Heading1"/>
        <w:keepNext/>
      </w:pPr>
      <w:r>
        <w:t>Executive synthesis</w:t>
      </w:r>
    </w:p>
    <w:p>
      <w:pPr>
        <w:keepLines/>
      </w:pPr>
      <w:r>
        <w:t>Code E fits two large-sample generalized additive models using mgcv::bam with fast restricted maximum likelihood. The global model uses 500,000 sampled rows and analyzes log(1 + accuracy) across five methods and three metrics. The comparison model uses 144,342 complete matched rows and analyzes log(1 + |accuracy_v - accuracy_iii|). Both models use method- or metric-specific thin-plate regression spline surfaces over p1 and p2 with k = 30.</w:t>
      </w:r>
    </w:p>
    <w:p>
      <w:pPr>
        <w:keepLines/>
      </w:pPr>
      <w:r>
        <w:t>The global model explains 38.8% of deviance (adjusted R-squared = 0.388). Metric, method, their interaction, every listed design term, and all five p1-p2 smooths are significant at p &lt; 2 x 10^-16. F-based influence is concentrated in sigma (F = 76,107.9; approximate partial-R-squared analog 0.132) and G (F = 52,251.7; analog 0.095). Mean sample size, design block, and theta_true form a smaller second tier; theta_CV and the method-by-metric interaction are statistically detectable but practically small.</w:t>
      </w:r>
    </w:p>
    <w:p>
      <w:pPr>
        <w:keepLines/>
      </w:pPr>
      <w:r>
        <w:t>The significant metric-by-method interaction (F[8] = 104.4, p &lt; 2 x 10^-16) means that method contrasts depend on the error definition. At the centered smooth and reference covariate settings, method iii has the smallest fitted L1 response, while method iv has the smallest fitted Linf and RMSE responses. Methods iii, iv, and v are tightly grouped; method ii is worse under all three metrics. These are conditional model contrasts, not population-wide marginal rankings.</w:t>
      </w:r>
    </w:p>
    <w:p>
      <w:pPr>
        <w:keepLines/>
      </w:pPr>
      <w:r>
        <w:t>The p1-p2 surfaces have substantial shape. All methods show an interior region of increased error and lower error toward portions of the simplex boundary, but the amplitude and topography differ. Method iii has the strongest surface test (F = 87.97), method ii the weakest (F = 35.08), and methods iv and v are intermediate. A weaker smooth for method ii does not imply good performance: its entire fitted surface is shifted upward.</w:t>
      </w:r>
    </w:p>
    <w:p>
      <w:pPr>
        <w:keepLines/>
      </w:pPr>
      <w:r>
        <w:t>For the absolute v-versus-iii gap, sigma is the dominant linear driver (t = 159.1), and the gap is largest in an interior zone near p1 and p2 of approximately 0.3-0.4. The metric-specific surface is strongest for L1, followed by Linf and RMSE. Mean sample size has no detectable linear association with gap magnitude (p = 0.364). Because the sign is discarded before modeling, none of these results indicates whether v or iii is better within a region.</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5" w:type="dxa"/>
              <w:start w:w="120" w:type="dxa"/>
              <w:bottom w:w="85" w:type="dxa"/>
              <w:end w:w="120" w:type="dxa"/>
            </w:tcMar>
          </w:tcPr>
          <w:p>
            <w:pPr>
              <w:keepLines/>
              <w:spacing w:after="0"/>
            </w:pPr>
            <w:r>
              <w:rPr>
                <w:b/>
                <w:color w:val="1F4D78"/>
              </w:rPr>
              <w:t xml:space="preserve">Scale correction. </w:t>
            </w:r>
            <w:r>
              <w:t>The supplied narrative describes log-ratios, but Code E does not fit log(error_v/error_iii). The global response is log1p(error), and the comparison response is log1p(abs(error_v - error_iii)). Exponentiated coefficients therefore describe changes in 1 + error or 1 + absolute gap, not percentage improvements in error itself. A signed log-ratio surface must be fitted for relative-efficiency claims.</w:t>
            </w:r>
          </w:p>
        </w:tc>
      </w:tr>
    </w:tbl>
    <w:p>
      <w:pPr>
        <w:spacing w:after="0"/>
      </w:pPr>
    </w:p>
    <w:p>
      <w:r>
        <w:br w:type="page"/>
      </w:r>
    </w:p>
    <w:p>
      <w:pPr>
        <w:pStyle w:val="Heading1"/>
        <w:keepNext/>
      </w:pPr>
      <w:r>
        <w:t>1. Statistical formulation and audit</w:t>
      </w:r>
    </w:p>
    <w:p>
      <w:pPr>
        <w:pStyle w:val="Heading2"/>
        <w:keepNext/>
      </w:pPr>
      <w:r>
        <w:t>1.1 Global accuracy GAM</w:t>
      </w:r>
    </w:p>
    <w:p>
      <w:pPr>
        <w:keepLines/>
      </w:pPr>
      <w:r>
        <w:t>The global model is a Gaussian identity-link BAM fitted by fREML with discrete computation. In compact notation, the response and systematic component are</w:t>
      </w:r>
    </w:p>
    <w:p>
      <w:pPr>
        <w:keepLines/>
        <w:spacing w:after="160"/>
        <w:jc w:val="center"/>
      </w:pPr>
      <w:r>
        <w:rPr>
          <w:rFonts w:ascii="Cambria Math" w:hAnsi="Cambria Math"/>
          <w:i/>
          <w:sz w:val="20"/>
        </w:rPr>
        <w:t>Y = log(1 + accuracy) = metric x method + f_method(p1,p2) + design_block + G + theta_true + theta_CV + sigma + mean_nsamp + error</w:t>
      </w:r>
    </w:p>
    <w:p>
      <w:pPr>
        <w:keepLines/>
      </w:pPr>
      <w:r>
        <w:t>The five by-factor smooths allow the p1-p2 morphology to differ among methods. The parametric metric-by-method interaction allows method contrasts to differ among L1, Linf, and RMSE. The reference categories are L1, method i, and the lognormal design block. Smooths are centered, so method coefficients apply at the average smooth contribution and reference settings.</w:t>
      </w:r>
    </w:p>
    <w:p>
      <w:pPr>
        <w:pStyle w:val="Heading2"/>
        <w:keepNext/>
      </w:pPr>
      <w:r>
        <w:t>1.2 v-versus-iii separation GAM</w:t>
      </w:r>
    </w:p>
    <w:p>
      <w:pPr>
        <w:keepLines/>
      </w:pPr>
      <w:r>
        <w:t>The second model first calculates diff = accuracy_v - accuracy_iii, discards the sign through |diff|, and fits log(1 + |diff|). It quantifies the magnitude of separation, not relative direction. The metric-specific p1-p2 smooths test whether the size of the v-versus-iii gap changes over the simplex differently for L1, Linf, and RMSE.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0"/>
        <w:gridCol w:w="6760"/>
      </w:tblGrid>
      <w:tr>
        <w:trPr>
          <w:trHeight w:hRule="atLeast"/>
          <w:tblHeader w:val="true"/>
        </w:trPr>
        <w:tc>
          <w:tcPr>
            <w:tcW w:type="dxa" w:w="2600"/>
            <w:shd w:fill="E8EEF5"/>
            <w:vAlign w:val="center"/>
            <w:tcMar>
              <w:top w:w="85" w:type="dxa"/>
              <w:start w:w="120" w:type="dxa"/>
              <w:bottom w:w="85" w:type="dxa"/>
              <w:end w:w="120" w:type="dxa"/>
            </w:tcMar>
          </w:tcPr>
          <w:p>
            <w:pPr>
              <w:keepLines/>
              <w:spacing w:before="0" w:after="0"/>
            </w:pPr>
            <w:r>
              <w:rPr>
                <w:rFonts w:ascii="Calibri" w:hAnsi="Calibri"/>
                <w:b/>
                <w:color w:val="1F4D78"/>
                <w:sz w:val="17"/>
              </w:rPr>
              <w:t>Component</w:t>
            </w:r>
          </w:p>
        </w:tc>
        <w:tc>
          <w:tcPr>
            <w:tcW w:type="dxa" w:w="6760"/>
            <w:shd w:fill="E8EEF5"/>
            <w:vAlign w:val="center"/>
            <w:tcMar>
              <w:top w:w="85" w:type="dxa"/>
              <w:start w:w="120" w:type="dxa"/>
              <w:bottom w:w="85" w:type="dxa"/>
              <w:end w:w="120" w:type="dxa"/>
            </w:tcMar>
          </w:tcPr>
          <w:p>
            <w:pPr>
              <w:keepLines/>
              <w:spacing w:before="0" w:after="0"/>
            </w:pPr>
            <w:r>
              <w:rPr>
                <w:rFonts w:ascii="Calibri" w:hAnsi="Calibri"/>
                <w:b/>
                <w:color w:val="1F4D78"/>
                <w:sz w:val="17"/>
              </w:rPr>
              <w:t>Implementation</w:t>
            </w:r>
          </w:p>
        </w:tc>
      </w:tr>
      <w:tr>
        <w:trPr>
          <w:cantSplit/>
        </w:trPr>
        <w:tc>
          <w:tcPr>
            <w:tcW w:type="dxa" w:w="2600"/>
            <w:vAlign w:val="top"/>
            <w:tcMar>
              <w:top w:w="85" w:type="dxa"/>
              <w:start w:w="120" w:type="dxa"/>
              <w:bottom w:w="85" w:type="dxa"/>
              <w:end w:w="120" w:type="dxa"/>
            </w:tcMar>
          </w:tcPr>
          <w:p>
            <w:pPr>
              <w:keepLines/>
              <w:spacing w:before="0" w:after="40" w:line="240" w:lineRule="auto"/>
            </w:pPr>
            <w:r>
              <w:rPr>
                <w:rFonts w:ascii="Calibri" w:hAnsi="Calibri"/>
                <w:b/>
                <w:color w:val="1F2937"/>
                <w:sz w:val="17"/>
              </w:rPr>
              <w:t>Global sample</w:t>
            </w:r>
          </w:p>
        </w:tc>
        <w:tc>
          <w:tcPr>
            <w:tcW w:type="dxa" w:w="6760"/>
            <w:vAlign w:val="top"/>
            <w:tcMar>
              <w:top w:w="85" w:type="dxa"/>
              <w:start w:w="120" w:type="dxa"/>
              <w:bottom w:w="85" w:type="dxa"/>
              <w:end w:w="120" w:type="dxa"/>
            </w:tcMar>
          </w:tcPr>
          <w:p>
            <w:pPr>
              <w:keepLines/>
              <w:spacing w:before="0" w:after="40" w:line="240" w:lineRule="auto"/>
            </w:pPr>
            <w:r>
              <w:rPr>
                <w:rFonts w:ascii="Calibri" w:hAnsi="Calibri"/>
                <w:color w:val="1F2937"/>
                <w:sz w:val="17"/>
              </w:rPr>
              <w:t>500,000 rows sampled from 61 partitions; seed 20,731</w:t>
            </w:r>
          </w:p>
        </w:tc>
      </w:tr>
      <w:tr>
        <w:trPr>
          <w:cantSplit/>
        </w:trPr>
        <w:tc>
          <w:tcPr>
            <w:tcW w:type="dxa" w:w="2600"/>
            <w:vAlign w:val="top"/>
            <w:tcMar>
              <w:top w:w="85" w:type="dxa"/>
              <w:start w:w="120" w:type="dxa"/>
              <w:bottom w:w="85" w:type="dxa"/>
              <w:end w:w="120" w:type="dxa"/>
            </w:tcMar>
          </w:tcPr>
          <w:p>
            <w:pPr>
              <w:keepLines/>
              <w:spacing w:before="0" w:after="40" w:line="240" w:lineRule="auto"/>
            </w:pPr>
            <w:r>
              <w:rPr>
                <w:rFonts w:ascii="Calibri" w:hAnsi="Calibri"/>
                <w:b/>
                <w:color w:val="1F2937"/>
                <w:sz w:val="17"/>
              </w:rPr>
              <w:t>Difference sample</w:t>
            </w:r>
          </w:p>
        </w:tc>
        <w:tc>
          <w:tcPr>
            <w:tcW w:type="dxa" w:w="6760"/>
            <w:vAlign w:val="top"/>
            <w:tcMar>
              <w:top w:w="85" w:type="dxa"/>
              <w:start w:w="120" w:type="dxa"/>
              <w:bottom w:w="85" w:type="dxa"/>
              <w:end w:w="120" w:type="dxa"/>
            </w:tcMar>
          </w:tcPr>
          <w:p>
            <w:pPr>
              <w:keepLines/>
              <w:spacing w:before="0" w:after="40" w:line="240" w:lineRule="auto"/>
            </w:pPr>
            <w:r>
              <w:rPr>
                <w:rFonts w:ascii="Calibri" w:hAnsi="Calibri"/>
                <w:color w:val="1F2937"/>
                <w:sz w:val="17"/>
              </w:rPr>
              <w:t>144,342 complete v-versus-iii matched rows</w:t>
            </w:r>
          </w:p>
        </w:tc>
      </w:tr>
      <w:tr>
        <w:trPr>
          <w:cantSplit/>
        </w:trPr>
        <w:tc>
          <w:tcPr>
            <w:tcW w:type="dxa" w:w="2600"/>
            <w:vAlign w:val="top"/>
            <w:tcMar>
              <w:top w:w="85" w:type="dxa"/>
              <w:start w:w="120" w:type="dxa"/>
              <w:bottom w:w="85" w:type="dxa"/>
              <w:end w:w="120" w:type="dxa"/>
            </w:tcMar>
          </w:tcPr>
          <w:p>
            <w:pPr>
              <w:keepLines/>
              <w:spacing w:before="0" w:after="40" w:line="240" w:lineRule="auto"/>
            </w:pPr>
            <w:r>
              <w:rPr>
                <w:rFonts w:ascii="Calibri" w:hAnsi="Calibri"/>
                <w:b/>
                <w:color w:val="1F2937"/>
                <w:sz w:val="17"/>
              </w:rPr>
              <w:t>Global response</w:t>
            </w:r>
          </w:p>
        </w:tc>
        <w:tc>
          <w:tcPr>
            <w:tcW w:type="dxa" w:w="6760"/>
            <w:vAlign w:val="top"/>
            <w:tcMar>
              <w:top w:w="85" w:type="dxa"/>
              <w:start w:w="120" w:type="dxa"/>
              <w:bottom w:w="85" w:type="dxa"/>
              <w:end w:w="120" w:type="dxa"/>
            </w:tcMar>
          </w:tcPr>
          <w:p>
            <w:pPr>
              <w:keepLines/>
              <w:spacing w:before="0" w:after="40" w:line="240" w:lineRule="auto"/>
            </w:pPr>
            <w:r>
              <w:rPr>
                <w:rFonts w:ascii="Calibri" w:hAnsi="Calibri"/>
                <w:color w:val="1F2937"/>
                <w:sz w:val="17"/>
              </w:rPr>
              <w:t>log1p(accuracy)</w:t>
            </w:r>
          </w:p>
        </w:tc>
      </w:tr>
      <w:tr>
        <w:trPr>
          <w:cantSplit/>
        </w:trPr>
        <w:tc>
          <w:tcPr>
            <w:tcW w:type="dxa" w:w="2600"/>
            <w:vAlign w:val="top"/>
            <w:tcMar>
              <w:top w:w="85" w:type="dxa"/>
              <w:start w:w="120" w:type="dxa"/>
              <w:bottom w:w="85" w:type="dxa"/>
              <w:end w:w="120" w:type="dxa"/>
            </w:tcMar>
          </w:tcPr>
          <w:p>
            <w:pPr>
              <w:keepLines/>
              <w:spacing w:before="0" w:after="40" w:line="240" w:lineRule="auto"/>
            </w:pPr>
            <w:r>
              <w:rPr>
                <w:rFonts w:ascii="Calibri" w:hAnsi="Calibri"/>
                <w:b/>
                <w:color w:val="1F2937"/>
                <w:sz w:val="17"/>
              </w:rPr>
              <w:t>Gap response</w:t>
            </w:r>
          </w:p>
        </w:tc>
        <w:tc>
          <w:tcPr>
            <w:tcW w:type="dxa" w:w="6760"/>
            <w:vAlign w:val="top"/>
            <w:tcMar>
              <w:top w:w="85" w:type="dxa"/>
              <w:start w:w="120" w:type="dxa"/>
              <w:bottom w:w="85" w:type="dxa"/>
              <w:end w:w="120" w:type="dxa"/>
            </w:tcMar>
          </w:tcPr>
          <w:p>
            <w:pPr>
              <w:keepLines/>
              <w:spacing w:before="0" w:after="40" w:line="240" w:lineRule="auto"/>
            </w:pPr>
            <w:r>
              <w:rPr>
                <w:rFonts w:ascii="Calibri" w:hAnsi="Calibri"/>
                <w:color w:val="1F2937"/>
                <w:sz w:val="17"/>
              </w:rPr>
              <w:t>log1p(abs(accuracy_v - accuracy_iii))</w:t>
            </w:r>
          </w:p>
        </w:tc>
      </w:tr>
      <w:tr>
        <w:trPr>
          <w:cantSplit/>
        </w:trPr>
        <w:tc>
          <w:tcPr>
            <w:tcW w:type="dxa" w:w="2600"/>
            <w:vAlign w:val="top"/>
            <w:tcMar>
              <w:top w:w="85" w:type="dxa"/>
              <w:start w:w="120" w:type="dxa"/>
              <w:bottom w:w="85" w:type="dxa"/>
              <w:end w:w="120" w:type="dxa"/>
            </w:tcMar>
          </w:tcPr>
          <w:p>
            <w:pPr>
              <w:keepLines/>
              <w:spacing w:before="0" w:after="40" w:line="240" w:lineRule="auto"/>
            </w:pPr>
            <w:r>
              <w:rPr>
                <w:rFonts w:ascii="Calibri" w:hAnsi="Calibri"/>
                <w:b/>
                <w:color w:val="1F2937"/>
                <w:sz w:val="17"/>
              </w:rPr>
              <w:t>Smooth basis</w:t>
            </w:r>
          </w:p>
        </w:tc>
        <w:tc>
          <w:tcPr>
            <w:tcW w:type="dxa" w:w="6760"/>
            <w:vAlign w:val="top"/>
            <w:tcMar>
              <w:top w:w="85" w:type="dxa"/>
              <w:start w:w="120" w:type="dxa"/>
              <w:bottom w:w="85" w:type="dxa"/>
              <w:end w:w="120" w:type="dxa"/>
            </w:tcMar>
          </w:tcPr>
          <w:p>
            <w:pPr>
              <w:keepLines/>
              <w:spacing w:before="0" w:after="40" w:line="240" w:lineRule="auto"/>
            </w:pPr>
            <w:r>
              <w:rPr>
                <w:rFonts w:ascii="Calibri" w:hAnsi="Calibri"/>
                <w:color w:val="1F2937"/>
                <w:sz w:val="17"/>
              </w:rPr>
              <w:t>Two-dimensional thin-plate regression spline; k = 30 for each by-level</w:t>
            </w:r>
          </w:p>
        </w:tc>
      </w:tr>
      <w:tr>
        <w:trPr>
          <w:cantSplit/>
        </w:trPr>
        <w:tc>
          <w:tcPr>
            <w:tcW w:type="dxa" w:w="2600"/>
            <w:vAlign w:val="top"/>
            <w:tcMar>
              <w:top w:w="85" w:type="dxa"/>
              <w:start w:w="120" w:type="dxa"/>
              <w:bottom w:w="85" w:type="dxa"/>
              <w:end w:w="120" w:type="dxa"/>
            </w:tcMar>
          </w:tcPr>
          <w:p>
            <w:pPr>
              <w:keepLines/>
              <w:spacing w:before="0" w:after="40" w:line="240" w:lineRule="auto"/>
            </w:pPr>
            <w:r>
              <w:rPr>
                <w:rFonts w:ascii="Calibri" w:hAnsi="Calibri"/>
                <w:b/>
                <w:color w:val="1F2937"/>
                <w:sz w:val="17"/>
              </w:rPr>
              <w:t>Estimation</w:t>
            </w:r>
          </w:p>
        </w:tc>
        <w:tc>
          <w:tcPr>
            <w:tcW w:type="dxa" w:w="6760"/>
            <w:vAlign w:val="top"/>
            <w:tcMar>
              <w:top w:w="85" w:type="dxa"/>
              <w:start w:w="120" w:type="dxa"/>
              <w:bottom w:w="85" w:type="dxa"/>
              <w:end w:w="120" w:type="dxa"/>
            </w:tcMar>
          </w:tcPr>
          <w:p>
            <w:pPr>
              <w:keepLines/>
              <w:spacing w:before="0" w:after="40" w:line="240" w:lineRule="auto"/>
            </w:pPr>
            <w:r>
              <w:rPr>
                <w:rFonts w:ascii="Calibri" w:hAnsi="Calibri"/>
                <w:color w:val="1F2937"/>
                <w:sz w:val="17"/>
              </w:rPr>
              <w:t>bam, Gaussian identity link, fREML, discrete = TRUE</w:t>
            </w:r>
          </w:p>
        </w:tc>
      </w:tr>
      <w:tr>
        <w:trPr>
          <w:cantSplit/>
        </w:trPr>
        <w:tc>
          <w:tcPr>
            <w:tcW w:type="dxa" w:w="2600"/>
            <w:vAlign w:val="top"/>
            <w:tcMar>
              <w:top w:w="85" w:type="dxa"/>
              <w:start w:w="120" w:type="dxa"/>
              <w:bottom w:w="85" w:type="dxa"/>
              <w:end w:w="120" w:type="dxa"/>
            </w:tcMar>
          </w:tcPr>
          <w:p>
            <w:pPr>
              <w:keepLines/>
              <w:spacing w:before="0" w:after="40" w:line="240" w:lineRule="auto"/>
            </w:pPr>
            <w:r>
              <w:rPr>
                <w:rFonts w:ascii="Calibri" w:hAnsi="Calibri"/>
                <w:b/>
                <w:color w:val="1F2937"/>
                <w:sz w:val="17"/>
              </w:rPr>
              <w:t>Linear coding</w:t>
            </w:r>
          </w:p>
        </w:tc>
        <w:tc>
          <w:tcPr>
            <w:tcW w:type="dxa" w:w="6760"/>
            <w:vAlign w:val="top"/>
            <w:tcMar>
              <w:top w:w="85" w:type="dxa"/>
              <w:start w:w="120" w:type="dxa"/>
              <w:bottom w:w="85" w:type="dxa"/>
              <w:end w:w="120" w:type="dxa"/>
            </w:tcMar>
          </w:tcPr>
          <w:p>
            <w:pPr>
              <w:keepLines/>
              <w:spacing w:before="0" w:after="40" w:line="240" w:lineRule="auto"/>
            </w:pPr>
            <w:r>
              <w:rPr>
                <w:rFonts w:ascii="Calibri" w:hAnsi="Calibri"/>
                <w:color w:val="1F2937"/>
                <w:sz w:val="17"/>
              </w:rPr>
              <w:t>G, theta_true, theta_CV, sigma, and mean_nsamp entered as one-df numeric slopes</w:t>
            </w:r>
          </w:p>
        </w:tc>
      </w:tr>
    </w:tbl>
    <w:p>
      <w:pPr>
        <w:spacing w:after="0"/>
      </w:pP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5" w:type="dxa"/>
              <w:start w:w="120" w:type="dxa"/>
              <w:bottom w:w="85" w:type="dxa"/>
              <w:end w:w="120" w:type="dxa"/>
            </w:tcMar>
          </w:tcPr>
          <w:p>
            <w:pPr>
              <w:keepLines/>
              <w:spacing w:after="0"/>
            </w:pPr>
            <w:r>
              <w:rPr>
                <w:b/>
                <w:color w:val="1F4D78"/>
              </w:rPr>
              <w:t xml:space="preserve">Factorial-design qualification. </w:t>
            </w:r>
            <w:r>
              <w:t>The five experimental variables are not fitted as three-level factors; they are fitted as linear numeric terms. Consequently, the reported one-df tests evaluate linear trends only. Curvature or non-monotone level effects cannot be detected and should be checked with factor coding or prespecified nonlinear trends.</w:t>
            </w:r>
          </w:p>
        </w:tc>
      </w:tr>
    </w:tbl>
    <w:p>
      <w:pPr>
        <w:spacing w:after="0"/>
      </w:pPr>
    </w:p>
    <w:p>
      <w:pPr>
        <w:pStyle w:val="Heading2"/>
        <w:keepNext/>
      </w:pPr>
      <w:r>
        <w:t>1.3 Inferential scale and dependence</w:t>
      </w:r>
    </w:p>
    <w:p>
      <w:pPr>
        <w:keepLines/>
      </w:pPr>
      <w:r>
        <w:t>For a coefficient delta in the global model, 100[exp(delta) - 1] is the percentage change in 1 + accuracy. It is not the percentage change in accuracy unless a baseline fitted value is supplied. The corresponding raw-error contrast is exp(eta + delta) - exp(eta), where eta is the baseline linear predictor. The same limitation applies to the absolute-gap model.</w:t>
      </w:r>
    </w:p>
    <w:p>
      <w:pPr>
        <w:keepLines/>
      </w:pPr>
      <w:r>
        <w:t>Rows sharing an example_id, method, or metric are matched and potentially dependent, but no random effect or residual correlation is fitted. With hundreds of thousands of rows, nominal standard errors may therefore be optimistic. A matched-example bootstrap or random-effect formulation is needed for fully defensible inferential uncertainty.</w:t>
      </w:r>
    </w:p>
    <w:p>
      <w:pPr>
        <w:pStyle w:val="Heading1"/>
        <w:keepNext/>
      </w:pPr>
      <w:r>
        <w:t>2. Global GAM results</w:t>
      </w:r>
    </w:p>
    <w:p>
      <w:pPr>
        <w:pStyle w:val="Heading2"/>
        <w:keepNext/>
      </w:pPr>
      <w:r>
        <w:t>2.1 Hierarchy of influence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50"/>
        <w:gridCol w:w="600"/>
        <w:gridCol w:w="1400"/>
        <w:gridCol w:w="1750"/>
        <w:gridCol w:w="3860"/>
      </w:tblGrid>
      <w:tr>
        <w:trPr>
          <w:trHeight w:hRule="atLeast"/>
          <w:tblHeader w:val="true"/>
        </w:trPr>
        <w:tc>
          <w:tcPr>
            <w:tcW w:type="dxa" w:w="1750"/>
            <w:shd w:fill="E8EEF5"/>
            <w:vAlign w:val="center"/>
            <w:tcMar>
              <w:top w:w="85" w:type="dxa"/>
              <w:start w:w="120" w:type="dxa"/>
              <w:bottom w:w="85" w:type="dxa"/>
              <w:end w:w="120" w:type="dxa"/>
            </w:tcMar>
          </w:tcPr>
          <w:p>
            <w:pPr>
              <w:keepLines/>
              <w:spacing w:before="0" w:after="0"/>
            </w:pPr>
            <w:r>
              <w:rPr>
                <w:rFonts w:ascii="Calibri" w:hAnsi="Calibri"/>
                <w:b/>
                <w:color w:val="1F4D78"/>
                <w:sz w:val="16"/>
              </w:rPr>
              <w:t>Term</w:t>
            </w:r>
          </w:p>
        </w:tc>
        <w:tc>
          <w:tcPr>
            <w:tcW w:type="dxa" w:w="600"/>
            <w:shd w:fill="E8EEF5"/>
            <w:vAlign w:val="center"/>
            <w:tcMar>
              <w:top w:w="85" w:type="dxa"/>
              <w:start w:w="120" w:type="dxa"/>
              <w:bottom w:w="85" w:type="dxa"/>
              <w:end w:w="120" w:type="dxa"/>
            </w:tcMar>
          </w:tcPr>
          <w:p>
            <w:pPr>
              <w:keepLines/>
              <w:spacing w:before="0" w:after="0"/>
            </w:pPr>
            <w:r>
              <w:rPr>
                <w:rFonts w:ascii="Calibri" w:hAnsi="Calibri"/>
                <w:b/>
                <w:color w:val="1F4D78"/>
                <w:sz w:val="16"/>
              </w:rPr>
              <w:t>df</w:t>
            </w:r>
          </w:p>
        </w:tc>
        <w:tc>
          <w:tcPr>
            <w:tcW w:type="dxa" w:w="1400"/>
            <w:shd w:fill="E8EEF5"/>
            <w:vAlign w:val="center"/>
            <w:tcMar>
              <w:top w:w="85" w:type="dxa"/>
              <w:start w:w="120" w:type="dxa"/>
              <w:bottom w:w="85" w:type="dxa"/>
              <w:end w:w="120" w:type="dxa"/>
            </w:tcMar>
          </w:tcPr>
          <w:p>
            <w:pPr>
              <w:keepLines/>
              <w:spacing w:before="0" w:after="0"/>
            </w:pPr>
            <w:r>
              <w:rPr>
                <w:rFonts w:ascii="Calibri" w:hAnsi="Calibri"/>
                <w:b/>
                <w:color w:val="1F4D78"/>
                <w:sz w:val="16"/>
              </w:rPr>
              <w:t>F</w:t>
            </w:r>
          </w:p>
        </w:tc>
        <w:tc>
          <w:tcPr>
            <w:tcW w:type="dxa" w:w="1750"/>
            <w:shd w:fill="E8EEF5"/>
            <w:vAlign w:val="center"/>
            <w:tcMar>
              <w:top w:w="85" w:type="dxa"/>
              <w:start w:w="120" w:type="dxa"/>
              <w:bottom w:w="85" w:type="dxa"/>
              <w:end w:w="120" w:type="dxa"/>
            </w:tcMar>
          </w:tcPr>
          <w:p>
            <w:pPr>
              <w:keepLines/>
              <w:spacing w:before="0" w:after="0"/>
            </w:pPr>
            <w:r>
              <w:rPr>
                <w:rFonts w:ascii="Calibri" w:hAnsi="Calibri"/>
                <w:b/>
                <w:color w:val="1F4D78"/>
                <w:sz w:val="16"/>
              </w:rPr>
              <w:t>F-based partial R2</w:t>
            </w:r>
          </w:p>
        </w:tc>
        <w:tc>
          <w:tcPr>
            <w:tcW w:type="dxa" w:w="3860"/>
            <w:shd w:fill="E8EEF5"/>
            <w:vAlign w:val="center"/>
            <w:tcMar>
              <w:top w:w="85" w:type="dxa"/>
              <w:start w:w="120" w:type="dxa"/>
              <w:bottom w:w="85" w:type="dxa"/>
              <w:end w:w="120" w:type="dxa"/>
            </w:tcMar>
          </w:tcPr>
          <w:p>
            <w:pPr>
              <w:keepLines/>
              <w:spacing w:before="0" w:after="0"/>
            </w:pPr>
            <w:r>
              <w:rPr>
                <w:rFonts w:ascii="Calibri" w:hAnsi="Calibri"/>
                <w:b/>
                <w:color w:val="1F4D78"/>
                <w:sz w:val="16"/>
              </w:rPr>
              <w:t>Interpretation</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sigma</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1</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76,107.9</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0.132</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Dominant experimental driver</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G</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1</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52,251.7</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0.095</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Second dominant driver</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metric</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2</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16,656.9</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0.062</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Large scale difference among metrics</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mean_nsamp</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1</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3,943.6</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0.0078</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Smaller but clear</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design_block</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2</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1,247.6</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0.0050</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Smaller block effect</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theta_true</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1</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1,576.5</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0.0031</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Small linear trend</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method</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4</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293.7</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0.0023</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Small after conditioning</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metric x method</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8</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104.4</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0.0017</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Small but scientifically important</w:t>
            </w:r>
          </w:p>
        </w:tc>
      </w:tr>
      <w:tr>
        <w:trPr>
          <w:cantSplit/>
        </w:trPr>
        <w:tc>
          <w:tcPr>
            <w:tcW w:type="dxa" w:w="1750"/>
            <w:vAlign w:val="top"/>
            <w:tcMar>
              <w:top w:w="85" w:type="dxa"/>
              <w:start w:w="120" w:type="dxa"/>
              <w:bottom w:w="85" w:type="dxa"/>
              <w:end w:w="120" w:type="dxa"/>
            </w:tcMar>
          </w:tcPr>
          <w:p>
            <w:pPr>
              <w:keepLines/>
              <w:spacing w:before="0" w:after="40" w:line="240" w:lineRule="auto"/>
            </w:pPr>
            <w:r>
              <w:rPr>
                <w:rFonts w:ascii="Calibri" w:hAnsi="Calibri"/>
                <w:b/>
                <w:color w:val="1F2937"/>
                <w:sz w:val="16"/>
              </w:rPr>
              <w:t>theta_CV</w:t>
            </w:r>
          </w:p>
        </w:tc>
        <w:tc>
          <w:tcPr>
            <w:tcW w:type="dxa" w:w="600"/>
            <w:vAlign w:val="top"/>
            <w:tcMar>
              <w:top w:w="85" w:type="dxa"/>
              <w:start w:w="120" w:type="dxa"/>
              <w:bottom w:w="85" w:type="dxa"/>
              <w:end w:w="120" w:type="dxa"/>
            </w:tcMar>
          </w:tcPr>
          <w:p>
            <w:pPr>
              <w:keepLines/>
              <w:spacing w:before="0" w:after="40" w:line="240" w:lineRule="auto"/>
            </w:pPr>
            <w:r>
              <w:rPr>
                <w:rFonts w:ascii="Calibri" w:hAnsi="Calibri"/>
                <w:color w:val="1F2937"/>
                <w:sz w:val="16"/>
              </w:rPr>
              <w:t>1</w:t>
            </w:r>
          </w:p>
        </w:tc>
        <w:tc>
          <w:tcPr>
            <w:tcW w:type="dxa" w:w="1400"/>
            <w:vAlign w:val="top"/>
            <w:tcMar>
              <w:top w:w="85" w:type="dxa"/>
              <w:start w:w="120" w:type="dxa"/>
              <w:bottom w:w="85" w:type="dxa"/>
              <w:end w:w="120" w:type="dxa"/>
            </w:tcMar>
          </w:tcPr>
          <w:p>
            <w:pPr>
              <w:keepLines/>
              <w:spacing w:before="0" w:after="40" w:line="240" w:lineRule="auto"/>
            </w:pPr>
            <w:r>
              <w:rPr>
                <w:rFonts w:ascii="Calibri" w:hAnsi="Calibri"/>
                <w:color w:val="1F2937"/>
                <w:sz w:val="16"/>
              </w:rPr>
              <w:t>111.0</w:t>
            </w:r>
          </w:p>
        </w:tc>
        <w:tc>
          <w:tcPr>
            <w:tcW w:type="dxa" w:w="1750"/>
            <w:vAlign w:val="top"/>
            <w:tcMar>
              <w:top w:w="85" w:type="dxa"/>
              <w:start w:w="120" w:type="dxa"/>
              <w:bottom w:w="85" w:type="dxa"/>
              <w:end w:w="120" w:type="dxa"/>
            </w:tcMar>
          </w:tcPr>
          <w:p>
            <w:pPr>
              <w:keepLines/>
              <w:spacing w:before="0" w:after="40" w:line="240" w:lineRule="auto"/>
            </w:pPr>
            <w:r>
              <w:rPr>
                <w:rFonts w:ascii="Calibri" w:hAnsi="Calibri"/>
                <w:color w:val="1F2937"/>
                <w:sz w:val="16"/>
              </w:rPr>
              <w:t>0.00022</w:t>
            </w:r>
          </w:p>
        </w:tc>
        <w:tc>
          <w:tcPr>
            <w:tcW w:type="dxa" w:w="3860"/>
            <w:vAlign w:val="top"/>
            <w:tcMar>
              <w:top w:w="85" w:type="dxa"/>
              <w:start w:w="120" w:type="dxa"/>
              <w:bottom w:w="85" w:type="dxa"/>
              <w:end w:w="120" w:type="dxa"/>
            </w:tcMar>
          </w:tcPr>
          <w:p>
            <w:pPr>
              <w:keepLines/>
              <w:spacing w:before="0" w:after="40" w:line="240" w:lineRule="auto"/>
            </w:pPr>
            <w:r>
              <w:rPr>
                <w:rFonts w:ascii="Calibri" w:hAnsi="Calibri"/>
                <w:color w:val="1F2937"/>
                <w:sz w:val="16"/>
              </w:rPr>
              <w:t>Least influential tested term</w:t>
            </w:r>
          </w:p>
        </w:tc>
      </w:tr>
    </w:tbl>
    <w:p>
      <w:pPr>
        <w:spacing w:after="0"/>
      </w:pPr>
    </w:p>
    <w:p>
      <w:pPr>
        <w:keepLines/>
      </w:pPr>
      <w:r>
        <w:t>The partial-R-squared values are descriptive analogs calculated as df x F / (df x F + residual df), using approximately 499,833 residual degrees of freedom. The mgcv F tests are approximate, so these quantities should be treated as influence summaries rather than exact variance partitions. Nevertheless, the separation between sigma and G and the remaining experimental factors is too large to be an artifact of rounding.</w:t>
      </w:r>
    </w:p>
    <w:p>
      <w:pPr>
        <w:pStyle w:val="Heading2"/>
        <w:keepNext/>
      </w:pPr>
      <w:r>
        <w:t>2.2 Direction of experimental trends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00"/>
        <w:gridCol w:w="1500"/>
        <w:gridCol w:w="4960"/>
      </w:tblGrid>
      <w:tr>
        <w:trPr>
          <w:trHeight w:hRule="atLeast"/>
          <w:tblHeader w:val="true"/>
        </w:trPr>
        <w:tc>
          <w:tcPr>
            <w:tcW w:type="dxa" w:w="2900"/>
            <w:shd w:fill="E8EEF5"/>
            <w:vAlign w:val="center"/>
            <w:tcMar>
              <w:top w:w="85" w:type="dxa"/>
              <w:start w:w="120" w:type="dxa"/>
              <w:bottom w:w="85" w:type="dxa"/>
              <w:end w:w="120" w:type="dxa"/>
            </w:tcMar>
          </w:tcPr>
          <w:p>
            <w:pPr>
              <w:keepLines/>
              <w:spacing w:before="0" w:after="0"/>
            </w:pPr>
            <w:r>
              <w:rPr>
                <w:rFonts w:ascii="Calibri" w:hAnsi="Calibri"/>
                <w:b/>
                <w:color w:val="1F4D78"/>
                <w:sz w:val="17"/>
              </w:rPr>
              <w:t>Term</w:t>
            </w:r>
          </w:p>
        </w:tc>
        <w:tc>
          <w:tcPr>
            <w:tcW w:type="dxa" w:w="1500"/>
            <w:shd w:fill="E8EEF5"/>
            <w:vAlign w:val="center"/>
            <w:tcMar>
              <w:top w:w="85" w:type="dxa"/>
              <w:start w:w="120" w:type="dxa"/>
              <w:bottom w:w="85" w:type="dxa"/>
              <w:end w:w="120" w:type="dxa"/>
            </w:tcMar>
          </w:tcPr>
          <w:p>
            <w:pPr>
              <w:keepLines/>
              <w:spacing w:before="0" w:after="0"/>
            </w:pPr>
            <w:r>
              <w:rPr>
                <w:rFonts w:ascii="Calibri" w:hAnsi="Calibri"/>
                <w:b/>
                <w:color w:val="1F4D78"/>
                <w:sz w:val="17"/>
              </w:rPr>
              <w:t>Coefficient</w:t>
            </w:r>
          </w:p>
        </w:tc>
        <w:tc>
          <w:tcPr>
            <w:tcW w:type="dxa" w:w="4960"/>
            <w:shd w:fill="E8EEF5"/>
            <w:vAlign w:val="center"/>
            <w:tcMar>
              <w:top w:w="85" w:type="dxa"/>
              <w:start w:w="120" w:type="dxa"/>
              <w:bottom w:w="85" w:type="dxa"/>
              <w:end w:w="120" w:type="dxa"/>
            </w:tcMar>
          </w:tcPr>
          <w:p>
            <w:pPr>
              <w:keepLines/>
              <w:spacing w:before="0" w:after="0"/>
            </w:pPr>
            <w:r>
              <w:rPr>
                <w:rFonts w:ascii="Calibri" w:hAnsi="Calibri"/>
                <w:b/>
                <w:color w:val="1F4D78"/>
                <w:sz w:val="17"/>
              </w:rPr>
              <w:t>Conditional interpretation</w:t>
            </w:r>
          </w:p>
        </w:tc>
      </w:tr>
      <w:tr>
        <w:trPr>
          <w:cantSplit/>
        </w:trPr>
        <w:tc>
          <w:tcPr>
            <w:tcW w:type="dxa" w:w="2900"/>
            <w:vAlign w:val="top"/>
            <w:tcMar>
              <w:top w:w="85" w:type="dxa"/>
              <w:start w:w="120" w:type="dxa"/>
              <w:bottom w:w="85" w:type="dxa"/>
              <w:end w:w="120" w:type="dxa"/>
            </w:tcMar>
          </w:tcPr>
          <w:p>
            <w:pPr>
              <w:keepLines/>
              <w:spacing w:before="0" w:after="40" w:line="240" w:lineRule="auto"/>
            </w:pPr>
            <w:r>
              <w:rPr>
                <w:rFonts w:ascii="Calibri" w:hAnsi="Calibri"/>
                <w:b/>
                <w:color w:val="1F2937"/>
                <w:sz w:val="17"/>
              </w:rPr>
              <w:t>sigma</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7"/>
              </w:rPr>
              <w:t>+0.04107</w:t>
            </w:r>
          </w:p>
        </w:tc>
        <w:tc>
          <w:tcPr>
            <w:tcW w:type="dxa" w:w="4960"/>
            <w:vAlign w:val="top"/>
            <w:tcMar>
              <w:top w:w="85" w:type="dxa"/>
              <w:start w:w="120" w:type="dxa"/>
              <w:bottom w:w="85" w:type="dxa"/>
              <w:end w:w="120" w:type="dxa"/>
            </w:tcMar>
          </w:tcPr>
          <w:p>
            <w:pPr>
              <w:keepLines/>
              <w:spacing w:before="0" w:after="40" w:line="240" w:lineRule="auto"/>
            </w:pPr>
            <w:r>
              <w:rPr>
                <w:rFonts w:ascii="Calibri" w:hAnsi="Calibri"/>
                <w:color w:val="1F2937"/>
                <w:sz w:val="17"/>
              </w:rPr>
              <w:t>Higher noise increases fitted error</w:t>
            </w:r>
          </w:p>
        </w:tc>
      </w:tr>
      <w:tr>
        <w:trPr>
          <w:cantSplit/>
        </w:trPr>
        <w:tc>
          <w:tcPr>
            <w:tcW w:type="dxa" w:w="2900"/>
            <w:vAlign w:val="top"/>
            <w:tcMar>
              <w:top w:w="85" w:type="dxa"/>
              <w:start w:w="120" w:type="dxa"/>
              <w:bottom w:w="85" w:type="dxa"/>
              <w:end w:w="120" w:type="dxa"/>
            </w:tcMar>
          </w:tcPr>
          <w:p>
            <w:pPr>
              <w:keepLines/>
              <w:spacing w:before="0" w:after="40" w:line="240" w:lineRule="auto"/>
            </w:pPr>
            <w:r>
              <w:rPr>
                <w:rFonts w:ascii="Calibri" w:hAnsi="Calibri"/>
                <w:b/>
                <w:color w:val="1F2937"/>
                <w:sz w:val="17"/>
              </w:rPr>
              <w:t>G</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7"/>
              </w:rPr>
              <w:t>-0.03407</w:t>
            </w:r>
          </w:p>
        </w:tc>
        <w:tc>
          <w:tcPr>
            <w:tcW w:type="dxa" w:w="4960"/>
            <w:vAlign w:val="top"/>
            <w:tcMar>
              <w:top w:w="85" w:type="dxa"/>
              <w:start w:w="120" w:type="dxa"/>
              <w:bottom w:w="85" w:type="dxa"/>
              <w:end w:w="120" w:type="dxa"/>
            </w:tcMar>
          </w:tcPr>
          <w:p>
            <w:pPr>
              <w:keepLines/>
              <w:spacing w:before="0" w:after="40" w:line="240" w:lineRule="auto"/>
            </w:pPr>
            <w:r>
              <w:rPr>
                <w:rFonts w:ascii="Calibri" w:hAnsi="Calibri"/>
                <w:color w:val="1F2937"/>
                <w:sz w:val="17"/>
              </w:rPr>
              <w:t>Higher G decreases fitted error</w:t>
            </w:r>
          </w:p>
        </w:tc>
      </w:tr>
      <w:tr>
        <w:trPr>
          <w:cantSplit/>
        </w:trPr>
        <w:tc>
          <w:tcPr>
            <w:tcW w:type="dxa" w:w="2900"/>
            <w:vAlign w:val="top"/>
            <w:tcMar>
              <w:top w:w="85" w:type="dxa"/>
              <w:start w:w="120" w:type="dxa"/>
              <w:bottom w:w="85" w:type="dxa"/>
              <w:end w:w="120" w:type="dxa"/>
            </w:tcMar>
          </w:tcPr>
          <w:p>
            <w:pPr>
              <w:keepLines/>
              <w:spacing w:before="0" w:after="40" w:line="240" w:lineRule="auto"/>
            </w:pPr>
            <w:r>
              <w:rPr>
                <w:rFonts w:ascii="Calibri" w:hAnsi="Calibri"/>
                <w:b/>
                <w:color w:val="1F2937"/>
                <w:sz w:val="17"/>
              </w:rPr>
              <w:t>mean_nsamp</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7"/>
              </w:rPr>
              <w:t>-0.00934</w:t>
            </w:r>
          </w:p>
        </w:tc>
        <w:tc>
          <w:tcPr>
            <w:tcW w:type="dxa" w:w="4960"/>
            <w:vAlign w:val="top"/>
            <w:tcMar>
              <w:top w:w="85" w:type="dxa"/>
              <w:start w:w="120" w:type="dxa"/>
              <w:bottom w:w="85" w:type="dxa"/>
              <w:end w:w="120" w:type="dxa"/>
            </w:tcMar>
          </w:tcPr>
          <w:p>
            <w:pPr>
              <w:keepLines/>
              <w:spacing w:before="0" w:after="40" w:line="240" w:lineRule="auto"/>
            </w:pPr>
            <w:r>
              <w:rPr>
                <w:rFonts w:ascii="Calibri" w:hAnsi="Calibri"/>
                <w:color w:val="1F2937"/>
                <w:sz w:val="17"/>
              </w:rPr>
              <w:t>Larger mean sample size decreases error</w:t>
            </w:r>
          </w:p>
        </w:tc>
      </w:tr>
      <w:tr>
        <w:trPr>
          <w:cantSplit/>
        </w:trPr>
        <w:tc>
          <w:tcPr>
            <w:tcW w:type="dxa" w:w="2900"/>
            <w:vAlign w:val="top"/>
            <w:tcMar>
              <w:top w:w="85" w:type="dxa"/>
              <w:start w:w="120" w:type="dxa"/>
              <w:bottom w:w="85" w:type="dxa"/>
              <w:end w:w="120" w:type="dxa"/>
            </w:tcMar>
          </w:tcPr>
          <w:p>
            <w:pPr>
              <w:keepLines/>
              <w:spacing w:before="0" w:after="40" w:line="240" w:lineRule="auto"/>
            </w:pPr>
            <w:r>
              <w:rPr>
                <w:rFonts w:ascii="Calibri" w:hAnsi="Calibri"/>
                <w:b/>
                <w:color w:val="1F2937"/>
                <w:sz w:val="17"/>
              </w:rPr>
              <w:t>theta_true</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7"/>
              </w:rPr>
              <w:t>-0.00591</w:t>
            </w:r>
          </w:p>
        </w:tc>
        <w:tc>
          <w:tcPr>
            <w:tcW w:type="dxa" w:w="4960"/>
            <w:vAlign w:val="top"/>
            <w:tcMar>
              <w:top w:w="85" w:type="dxa"/>
              <w:start w:w="120" w:type="dxa"/>
              <w:bottom w:w="85" w:type="dxa"/>
              <w:end w:w="120" w:type="dxa"/>
            </w:tcMar>
          </w:tcPr>
          <w:p>
            <w:pPr>
              <w:keepLines/>
              <w:spacing w:before="0" w:after="40" w:line="240" w:lineRule="auto"/>
            </w:pPr>
            <w:r>
              <w:rPr>
                <w:rFonts w:ascii="Calibri" w:hAnsi="Calibri"/>
                <w:color w:val="1F2937"/>
                <w:sz w:val="17"/>
              </w:rPr>
              <w:t>Higher theta_true decreases error</w:t>
            </w:r>
          </w:p>
        </w:tc>
      </w:tr>
      <w:tr>
        <w:trPr>
          <w:cantSplit/>
        </w:trPr>
        <w:tc>
          <w:tcPr>
            <w:tcW w:type="dxa" w:w="2900"/>
            <w:vAlign w:val="top"/>
            <w:tcMar>
              <w:top w:w="85" w:type="dxa"/>
              <w:start w:w="120" w:type="dxa"/>
              <w:bottom w:w="85" w:type="dxa"/>
              <w:end w:w="120" w:type="dxa"/>
            </w:tcMar>
          </w:tcPr>
          <w:p>
            <w:pPr>
              <w:keepLines/>
              <w:spacing w:before="0" w:after="40" w:line="240" w:lineRule="auto"/>
            </w:pPr>
            <w:r>
              <w:rPr>
                <w:rFonts w:ascii="Calibri" w:hAnsi="Calibri"/>
                <w:b/>
                <w:color w:val="1F2937"/>
                <w:sz w:val="17"/>
              </w:rPr>
              <w:t>theta_CV</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7"/>
              </w:rPr>
              <w:t>+0.00157</w:t>
            </w:r>
          </w:p>
        </w:tc>
        <w:tc>
          <w:tcPr>
            <w:tcW w:type="dxa" w:w="4960"/>
            <w:vAlign w:val="top"/>
            <w:tcMar>
              <w:top w:w="85" w:type="dxa"/>
              <w:start w:w="120" w:type="dxa"/>
              <w:bottom w:w="85" w:type="dxa"/>
              <w:end w:w="120" w:type="dxa"/>
            </w:tcMar>
          </w:tcPr>
          <w:p>
            <w:pPr>
              <w:keepLines/>
              <w:spacing w:before="0" w:after="40" w:line="240" w:lineRule="auto"/>
            </w:pPr>
            <w:r>
              <w:rPr>
                <w:rFonts w:ascii="Calibri" w:hAnsi="Calibri"/>
                <w:color w:val="1F2937"/>
                <w:sz w:val="17"/>
              </w:rPr>
              <w:t>Higher heterogeneity slightly increases error</w:t>
            </w:r>
          </w:p>
        </w:tc>
      </w:tr>
      <w:tr>
        <w:trPr>
          <w:cantSplit/>
        </w:trPr>
        <w:tc>
          <w:tcPr>
            <w:tcW w:type="dxa" w:w="2900"/>
            <w:vAlign w:val="top"/>
            <w:tcMar>
              <w:top w:w="85" w:type="dxa"/>
              <w:start w:w="120" w:type="dxa"/>
              <w:bottom w:w="85" w:type="dxa"/>
              <w:end w:w="120" w:type="dxa"/>
            </w:tcMar>
          </w:tcPr>
          <w:p>
            <w:pPr>
              <w:keepLines/>
              <w:spacing w:before="0" w:after="40" w:line="240" w:lineRule="auto"/>
            </w:pPr>
            <w:r>
              <w:rPr>
                <w:rFonts w:ascii="Calibri" w:hAnsi="Calibri"/>
                <w:b/>
                <w:color w:val="1F2937"/>
                <w:sz w:val="17"/>
              </w:rPr>
              <w:t>Negative binomial vs lognormal</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7"/>
              </w:rPr>
              <w:t>-0.01246</w:t>
            </w:r>
          </w:p>
        </w:tc>
        <w:tc>
          <w:tcPr>
            <w:tcW w:type="dxa" w:w="4960"/>
            <w:vAlign w:val="top"/>
            <w:tcMar>
              <w:top w:w="85" w:type="dxa"/>
              <w:start w:w="120" w:type="dxa"/>
              <w:bottom w:w="85" w:type="dxa"/>
              <w:end w:w="120" w:type="dxa"/>
            </w:tcMar>
          </w:tcPr>
          <w:p>
            <w:pPr>
              <w:keepLines/>
              <w:spacing w:before="0" w:after="40" w:line="240" w:lineRule="auto"/>
            </w:pPr>
            <w:r>
              <w:rPr>
                <w:rFonts w:ascii="Calibri" w:hAnsi="Calibri"/>
                <w:color w:val="1F2937"/>
                <w:sz w:val="17"/>
              </w:rPr>
              <w:t>Lower fitted error</w:t>
            </w:r>
          </w:p>
        </w:tc>
      </w:tr>
      <w:tr>
        <w:trPr>
          <w:cantSplit/>
        </w:trPr>
        <w:tc>
          <w:tcPr>
            <w:tcW w:type="dxa" w:w="2900"/>
            <w:vAlign w:val="top"/>
            <w:tcMar>
              <w:top w:w="85" w:type="dxa"/>
              <w:start w:w="120" w:type="dxa"/>
              <w:bottom w:w="85" w:type="dxa"/>
              <w:end w:w="120" w:type="dxa"/>
            </w:tcMar>
          </w:tcPr>
          <w:p>
            <w:pPr>
              <w:keepLines/>
              <w:spacing w:before="0" w:after="40" w:line="240" w:lineRule="auto"/>
            </w:pPr>
            <w:r>
              <w:rPr>
                <w:rFonts w:ascii="Calibri" w:hAnsi="Calibri"/>
                <w:b/>
                <w:color w:val="1F2937"/>
                <w:sz w:val="17"/>
              </w:rPr>
              <w:t>Poisson vs lognormal</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7"/>
              </w:rPr>
              <w:t>-0.01330</w:t>
            </w:r>
          </w:p>
        </w:tc>
        <w:tc>
          <w:tcPr>
            <w:tcW w:type="dxa" w:w="4960"/>
            <w:vAlign w:val="top"/>
            <w:tcMar>
              <w:top w:w="85" w:type="dxa"/>
              <w:start w:w="120" w:type="dxa"/>
              <w:bottom w:w="85" w:type="dxa"/>
              <w:end w:w="120" w:type="dxa"/>
            </w:tcMar>
          </w:tcPr>
          <w:p>
            <w:pPr>
              <w:keepLines/>
              <w:spacing w:before="0" w:after="40" w:line="240" w:lineRule="auto"/>
            </w:pPr>
            <w:r>
              <w:rPr>
                <w:rFonts w:ascii="Calibri" w:hAnsi="Calibri"/>
                <w:color w:val="1F2937"/>
                <w:sz w:val="17"/>
              </w:rPr>
              <w:t>Lower fitted error</w:t>
            </w:r>
          </w:p>
        </w:tc>
      </w:tr>
    </w:tbl>
    <w:p>
      <w:pPr>
        <w:spacing w:after="0"/>
      </w:pPr>
    </w:p>
    <w:p>
      <w:pPr>
        <w:keepLines/>
      </w:pPr>
      <w:r>
        <w:t>All coefficients in this table have p &lt; 2 x 10^-16. Their scientific interpretation should focus on sign and fitted contrasts across observed levels, not on isolated one-unit changes. The design variables are uncentered numeric covariates, and the magnitude of a coefficient depends on the coding scale.</w:t>
      </w:r>
    </w:p>
    <w:p>
      <w:pPr>
        <w:pStyle w:val="Heading2"/>
        <w:keepNext/>
      </w:pPr>
      <w:r>
        <w:t>2.3 Method-by-metric decomposition</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200"/>
        <w:gridCol w:w="1450"/>
        <w:gridCol w:w="1600"/>
        <w:gridCol w:w="2050"/>
        <w:gridCol w:w="3060"/>
      </w:tblGrid>
      <w:tr>
        <w:trPr>
          <w:trHeight w:hRule="atLeast"/>
          <w:tblHeader w:val="true"/>
        </w:trPr>
        <w:tc>
          <w:tcPr>
            <w:tcW w:type="dxa" w:w="1200"/>
            <w:shd w:fill="E8EEF5"/>
            <w:vAlign w:val="center"/>
            <w:tcMar>
              <w:top w:w="85" w:type="dxa"/>
              <w:start w:w="120" w:type="dxa"/>
              <w:bottom w:w="85" w:type="dxa"/>
              <w:end w:w="120" w:type="dxa"/>
            </w:tcMar>
          </w:tcPr>
          <w:p>
            <w:pPr>
              <w:keepLines/>
              <w:spacing w:before="0" w:after="0"/>
            </w:pPr>
            <w:r>
              <w:rPr>
                <w:rFonts w:ascii="Calibri" w:hAnsi="Calibri"/>
                <w:b/>
                <w:color w:val="1F4D78"/>
                <w:sz w:val="16"/>
              </w:rPr>
              <w:t>Metric</w:t>
            </w:r>
          </w:p>
        </w:tc>
        <w:tc>
          <w:tcPr>
            <w:tcW w:type="dxa" w:w="1450"/>
            <w:shd w:fill="E8EEF5"/>
            <w:vAlign w:val="center"/>
            <w:tcMar>
              <w:top w:w="85" w:type="dxa"/>
              <w:start w:w="120" w:type="dxa"/>
              <w:bottom w:w="85" w:type="dxa"/>
              <w:end w:w="120" w:type="dxa"/>
            </w:tcMar>
          </w:tcPr>
          <w:p>
            <w:pPr>
              <w:keepLines/>
              <w:spacing w:before="0" w:after="0"/>
            </w:pPr>
            <w:r>
              <w:rPr>
                <w:rFonts w:ascii="Calibri" w:hAnsi="Calibri"/>
                <w:b/>
                <w:color w:val="1F4D78"/>
                <w:sz w:val="16"/>
              </w:rPr>
              <w:t>Method vs i</w:t>
            </w:r>
          </w:p>
        </w:tc>
        <w:tc>
          <w:tcPr>
            <w:tcW w:type="dxa" w:w="1600"/>
            <w:shd w:fill="E8EEF5"/>
            <w:vAlign w:val="center"/>
            <w:tcMar>
              <w:top w:w="85" w:type="dxa"/>
              <w:start w:w="120" w:type="dxa"/>
              <w:bottom w:w="85" w:type="dxa"/>
              <w:end w:w="120" w:type="dxa"/>
            </w:tcMar>
          </w:tcPr>
          <w:p>
            <w:pPr>
              <w:keepLines/>
              <w:spacing w:before="0" w:after="0"/>
            </w:pPr>
            <w:r>
              <w:rPr>
                <w:rFonts w:ascii="Calibri" w:hAnsi="Calibri"/>
                <w:b/>
                <w:color w:val="1F4D78"/>
                <w:sz w:val="16"/>
              </w:rPr>
              <w:t>Link contrast</w:t>
            </w:r>
          </w:p>
        </w:tc>
        <w:tc>
          <w:tcPr>
            <w:tcW w:type="dxa" w:w="2050"/>
            <w:shd w:fill="E8EEF5"/>
            <w:vAlign w:val="center"/>
            <w:tcMar>
              <w:top w:w="85" w:type="dxa"/>
              <w:start w:w="120" w:type="dxa"/>
              <w:bottom w:w="85" w:type="dxa"/>
              <w:end w:w="120" w:type="dxa"/>
            </w:tcMar>
          </w:tcPr>
          <w:p>
            <w:pPr>
              <w:keepLines/>
              <w:spacing w:before="0" w:after="0"/>
            </w:pPr>
            <w:r>
              <w:rPr>
                <w:rFonts w:ascii="Calibri" w:hAnsi="Calibri"/>
                <w:b/>
                <w:color w:val="1F4D78"/>
                <w:sz w:val="16"/>
              </w:rPr>
              <w:t>Change in 1 + error</w:t>
            </w:r>
          </w:p>
        </w:tc>
        <w:tc>
          <w:tcPr>
            <w:tcW w:type="dxa" w:w="3060"/>
            <w:shd w:fill="E8EEF5"/>
            <w:vAlign w:val="center"/>
            <w:tcMar>
              <w:top w:w="85" w:type="dxa"/>
              <w:start w:w="120" w:type="dxa"/>
              <w:bottom w:w="85" w:type="dxa"/>
              <w:end w:w="120" w:type="dxa"/>
            </w:tcMar>
          </w:tcPr>
          <w:p>
            <w:pPr>
              <w:keepLines/>
              <w:spacing w:before="0" w:after="0"/>
            </w:pPr>
            <w:r>
              <w:rPr>
                <w:rFonts w:ascii="Calibri" w:hAnsi="Calibri"/>
                <w:b/>
                <w:color w:val="1F4D78"/>
                <w:sz w:val="16"/>
              </w:rPr>
              <w:t>Conclusion</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L1</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ii</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+0.031664</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+3.217%</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Worse than i</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L1</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iii</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-0.007959</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-0.793%</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Best conditional L1</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L1</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iv</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-0.007194</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-0.717%</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Leading cluster</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L1</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v</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-0.007645</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-0.762%</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Leading cluster</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Linf</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ii</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+0.019862</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+2.006%</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Worse than i</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Linf</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iii</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-0.003691</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-0.368%</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Leading cluster</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Linf</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iv</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-0.004044</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-0.404%</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Best conditional Linf</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Linf</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v</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-0.003450</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-0.344%</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Leading cluster</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RMSE</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ii</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+0.015439</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+1.556%</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Worse than i</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RMSE</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iii</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-0.002154</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-0.215%</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Leading cluster</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RMSE</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iv</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-0.002762</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-0.276%</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Best conditional RMSE</w:t>
            </w:r>
          </w:p>
        </w:tc>
      </w:tr>
      <w:tr>
        <w:trPr>
          <w:cantSplit/>
        </w:trPr>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RMSE</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v</w:t>
            </w:r>
          </w:p>
        </w:tc>
        <w:tc>
          <w:tcPr>
            <w:tcW w:type="dxa" w:w="1600"/>
            <w:vAlign w:val="top"/>
            <w:tcMar>
              <w:top w:w="85" w:type="dxa"/>
              <w:start w:w="120" w:type="dxa"/>
              <w:bottom w:w="85" w:type="dxa"/>
              <w:end w:w="120" w:type="dxa"/>
            </w:tcMar>
          </w:tcPr>
          <w:p>
            <w:pPr>
              <w:keepLines/>
              <w:spacing w:before="0" w:after="40" w:line="240" w:lineRule="auto"/>
            </w:pPr>
            <w:r>
              <w:rPr>
                <w:rFonts w:ascii="Calibri" w:hAnsi="Calibri"/>
                <w:color w:val="1F2937"/>
                <w:sz w:val="16"/>
              </w:rPr>
              <w:t>-0.002314</w:t>
            </w:r>
          </w:p>
        </w:tc>
        <w:tc>
          <w:tcPr>
            <w:tcW w:type="dxa" w:w="2050"/>
            <w:vAlign w:val="top"/>
            <w:tcMar>
              <w:top w:w="85" w:type="dxa"/>
              <w:start w:w="120" w:type="dxa"/>
              <w:bottom w:w="85" w:type="dxa"/>
              <w:end w:w="120" w:type="dxa"/>
            </w:tcMar>
          </w:tcPr>
          <w:p>
            <w:pPr>
              <w:keepLines/>
              <w:spacing w:before="0" w:after="40" w:line="240" w:lineRule="auto"/>
            </w:pPr>
            <w:r>
              <w:rPr>
                <w:rFonts w:ascii="Calibri" w:hAnsi="Calibri"/>
                <w:color w:val="1F2937"/>
                <w:sz w:val="16"/>
              </w:rPr>
              <w:t>-0.231%</w:t>
            </w:r>
          </w:p>
        </w:tc>
        <w:tc>
          <w:tcPr>
            <w:tcW w:type="dxa" w:w="3060"/>
            <w:vAlign w:val="top"/>
            <w:tcMar>
              <w:top w:w="85" w:type="dxa"/>
              <w:start w:w="120" w:type="dxa"/>
              <w:bottom w:w="85" w:type="dxa"/>
              <w:end w:w="120" w:type="dxa"/>
            </w:tcMar>
          </w:tcPr>
          <w:p>
            <w:pPr>
              <w:keepLines/>
              <w:spacing w:before="0" w:after="40" w:line="240" w:lineRule="auto"/>
            </w:pPr>
            <w:r>
              <w:rPr>
                <w:rFonts w:ascii="Calibri" w:hAnsi="Calibri"/>
                <w:color w:val="1F2937"/>
                <w:sz w:val="16"/>
              </w:rPr>
              <w:t>Leading cluster</w:t>
            </w:r>
          </w:p>
        </w:tc>
      </w:tr>
    </w:tbl>
    <w:p>
      <w:pPr>
        <w:spacing w:after="0"/>
      </w:pPr>
    </w:p>
    <w:p>
      <w:pPr>
        <w:keepLines/>
      </w:pPr>
      <w:r>
        <w:t>These contrasts combine each method main effect with the relevant method-by-metric interaction. The interaction is decisively significant, so a single method main effect is incomplete. The top-three numerical differences are very small on the log1p scale and were not supplied with direct pairwise covariance-based tests; they should not be described as definitive pairwise superiority. Method ii, by contrast, is consistently displaced toward higher error.</w:t>
      </w:r>
    </w:p>
    <w:p>
      <w:r>
        <w:br w:type="page"/>
      </w:r>
    </w:p>
    <w:p>
      <w:pPr>
        <w:pStyle w:val="Heading1"/>
        <w:keepNext/>
      </w:pPr>
      <w:r>
        <w:t>3. Method-specific p1-p2 smooth surfaces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900"/>
        <w:gridCol w:w="1050"/>
        <w:gridCol w:w="1200"/>
        <w:gridCol w:w="1350"/>
        <w:gridCol w:w="3810"/>
      </w:tblGrid>
      <w:tr>
        <w:trPr>
          <w:trHeight w:hRule="atLeast"/>
          <w:tblHeader w:val="true"/>
        </w:trPr>
        <w:tc>
          <w:tcPr>
            <w:tcW w:type="dxa" w:w="1050"/>
            <w:shd w:fill="E8EEF5"/>
            <w:vAlign w:val="center"/>
            <w:tcMar>
              <w:top w:w="85" w:type="dxa"/>
              <w:start w:w="120" w:type="dxa"/>
              <w:bottom w:w="85" w:type="dxa"/>
              <w:end w:w="120" w:type="dxa"/>
            </w:tcMar>
          </w:tcPr>
          <w:p>
            <w:pPr>
              <w:keepLines/>
              <w:spacing w:before="0" w:after="0"/>
            </w:pPr>
            <w:r>
              <w:rPr>
                <w:rFonts w:ascii="Calibri" w:hAnsi="Calibri"/>
                <w:b/>
                <w:color w:val="1F4D78"/>
                <w:sz w:val="16"/>
              </w:rPr>
              <w:t>Method</w:t>
            </w:r>
          </w:p>
        </w:tc>
        <w:tc>
          <w:tcPr>
            <w:tcW w:type="dxa" w:w="900"/>
            <w:shd w:fill="E8EEF5"/>
            <w:vAlign w:val="center"/>
            <w:tcMar>
              <w:top w:w="85" w:type="dxa"/>
              <w:start w:w="120" w:type="dxa"/>
              <w:bottom w:w="85" w:type="dxa"/>
              <w:end w:w="120" w:type="dxa"/>
            </w:tcMar>
          </w:tcPr>
          <w:p>
            <w:pPr>
              <w:keepLines/>
              <w:spacing w:before="0" w:after="0"/>
            </w:pPr>
            <w:r>
              <w:rPr>
                <w:rFonts w:ascii="Calibri" w:hAnsi="Calibri"/>
                <w:b/>
                <w:color w:val="1F4D78"/>
                <w:sz w:val="16"/>
              </w:rPr>
              <w:t>edf</w:t>
            </w:r>
          </w:p>
        </w:tc>
        <w:tc>
          <w:tcPr>
            <w:tcW w:type="dxa" w:w="1050"/>
            <w:shd w:fill="E8EEF5"/>
            <w:vAlign w:val="center"/>
            <w:tcMar>
              <w:top w:w="85" w:type="dxa"/>
              <w:start w:w="120" w:type="dxa"/>
              <w:bottom w:w="85" w:type="dxa"/>
              <w:end w:w="120" w:type="dxa"/>
            </w:tcMar>
          </w:tcPr>
          <w:p>
            <w:pPr>
              <w:keepLines/>
              <w:spacing w:before="0" w:after="0"/>
            </w:pPr>
            <w:r>
              <w:rPr>
                <w:rFonts w:ascii="Calibri" w:hAnsi="Calibri"/>
                <w:b/>
                <w:color w:val="1F4D78"/>
                <w:sz w:val="16"/>
              </w:rPr>
              <w:t>F</w:t>
            </w:r>
          </w:p>
        </w:tc>
        <w:tc>
          <w:tcPr>
            <w:tcW w:type="dxa" w:w="1200"/>
            <w:shd w:fill="E8EEF5"/>
            <w:vAlign w:val="center"/>
            <w:tcMar>
              <w:top w:w="85" w:type="dxa"/>
              <w:start w:w="120" w:type="dxa"/>
              <w:bottom w:w="85" w:type="dxa"/>
              <w:end w:w="120" w:type="dxa"/>
            </w:tcMar>
          </w:tcPr>
          <w:p>
            <w:pPr>
              <w:keepLines/>
              <w:spacing w:before="0" w:after="0"/>
            </w:pPr>
            <w:r>
              <w:rPr>
                <w:rFonts w:ascii="Calibri" w:hAnsi="Calibri"/>
                <w:b/>
                <w:color w:val="1F4D78"/>
                <w:sz w:val="16"/>
              </w:rPr>
              <w:t>k-index</w:t>
            </w:r>
          </w:p>
        </w:tc>
        <w:tc>
          <w:tcPr>
            <w:tcW w:type="dxa" w:w="1350"/>
            <w:shd w:fill="E8EEF5"/>
            <w:vAlign w:val="center"/>
            <w:tcMar>
              <w:top w:w="85" w:type="dxa"/>
              <w:start w:w="120" w:type="dxa"/>
              <w:bottom w:w="85" w:type="dxa"/>
              <w:end w:w="120" w:type="dxa"/>
            </w:tcMar>
          </w:tcPr>
          <w:p>
            <w:pPr>
              <w:keepLines/>
              <w:spacing w:before="0" w:after="0"/>
            </w:pPr>
            <w:r>
              <w:rPr>
                <w:rFonts w:ascii="Calibri" w:hAnsi="Calibri"/>
                <w:b/>
                <w:color w:val="1F4D78"/>
                <w:sz w:val="16"/>
              </w:rPr>
              <w:t>k-check p</w:t>
            </w:r>
          </w:p>
        </w:tc>
        <w:tc>
          <w:tcPr>
            <w:tcW w:type="dxa" w:w="3810"/>
            <w:shd w:fill="E8EEF5"/>
            <w:vAlign w:val="center"/>
            <w:tcMar>
              <w:top w:w="85" w:type="dxa"/>
              <w:start w:w="120" w:type="dxa"/>
              <w:bottom w:w="85" w:type="dxa"/>
              <w:end w:w="120" w:type="dxa"/>
            </w:tcMar>
          </w:tcPr>
          <w:p>
            <w:pPr>
              <w:keepLines/>
              <w:spacing w:before="0" w:after="0"/>
            </w:pPr>
            <w:r>
              <w:rPr>
                <w:rFonts w:ascii="Calibri" w:hAnsi="Calibri"/>
                <w:b/>
                <w:color w:val="1F4D78"/>
                <w:sz w:val="16"/>
              </w:rPr>
              <w:t>Surface assessment</w:t>
            </w:r>
          </w:p>
        </w:tc>
      </w:tr>
      <w:tr>
        <w:trPr>
          <w:cantSplit/>
        </w:trPr>
        <w:tc>
          <w:tcPr>
            <w:tcW w:type="dxa" w:w="1050"/>
            <w:vAlign w:val="top"/>
            <w:tcMar>
              <w:top w:w="85" w:type="dxa"/>
              <w:start w:w="120" w:type="dxa"/>
              <w:bottom w:w="85" w:type="dxa"/>
              <w:end w:w="120" w:type="dxa"/>
            </w:tcMar>
          </w:tcPr>
          <w:p>
            <w:pPr>
              <w:keepLines/>
              <w:spacing w:before="0" w:after="40" w:line="240" w:lineRule="auto"/>
            </w:pPr>
            <w:r>
              <w:rPr>
                <w:rFonts w:ascii="Calibri" w:hAnsi="Calibri"/>
                <w:b/>
                <w:color w:val="1F2937"/>
                <w:sz w:val="16"/>
              </w:rPr>
              <w:t>i</w:t>
            </w:r>
          </w:p>
        </w:tc>
        <w:tc>
          <w:tcPr>
            <w:tcW w:type="dxa" w:w="900"/>
            <w:vAlign w:val="top"/>
            <w:tcMar>
              <w:top w:w="85" w:type="dxa"/>
              <w:start w:w="120" w:type="dxa"/>
              <w:bottom w:w="85" w:type="dxa"/>
              <w:end w:w="120" w:type="dxa"/>
            </w:tcMar>
          </w:tcPr>
          <w:p>
            <w:pPr>
              <w:keepLines/>
              <w:spacing w:before="0" w:after="40" w:line="240" w:lineRule="auto"/>
            </w:pPr>
            <w:r>
              <w:rPr>
                <w:rFonts w:ascii="Calibri" w:hAnsi="Calibri"/>
                <w:color w:val="1F2937"/>
                <w:sz w:val="16"/>
              </w:rPr>
              <w:t>21.71</w:t>
            </w:r>
          </w:p>
        </w:tc>
        <w:tc>
          <w:tcPr>
            <w:tcW w:type="dxa" w:w="1050"/>
            <w:vAlign w:val="top"/>
            <w:tcMar>
              <w:top w:w="85" w:type="dxa"/>
              <w:start w:w="120" w:type="dxa"/>
              <w:bottom w:w="85" w:type="dxa"/>
              <w:end w:w="120" w:type="dxa"/>
            </w:tcMar>
          </w:tcPr>
          <w:p>
            <w:pPr>
              <w:keepLines/>
              <w:spacing w:before="0" w:after="40" w:line="240" w:lineRule="auto"/>
            </w:pPr>
            <w:r>
              <w:rPr>
                <w:rFonts w:ascii="Calibri" w:hAnsi="Calibri"/>
                <w:color w:val="1F2937"/>
                <w:sz w:val="16"/>
              </w:rPr>
              <w:t>75.96</w:t>
            </w:r>
          </w:p>
        </w:tc>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1.02</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0.90</w:t>
            </w:r>
          </w:p>
        </w:tc>
        <w:tc>
          <w:tcPr>
            <w:tcW w:type="dxa" w:w="3810"/>
            <w:vAlign w:val="top"/>
            <w:tcMar>
              <w:top w:w="85" w:type="dxa"/>
              <w:start w:w="120" w:type="dxa"/>
              <w:bottom w:w="85" w:type="dxa"/>
              <w:end w:w="120" w:type="dxa"/>
            </w:tcMar>
          </w:tcPr>
          <w:p>
            <w:pPr>
              <w:keepLines/>
              <w:spacing w:before="0" w:after="40" w:line="240" w:lineRule="auto"/>
            </w:pPr>
            <w:r>
              <w:rPr>
                <w:rFonts w:ascii="Calibri" w:hAnsi="Calibri"/>
                <w:color w:val="1F2937"/>
                <w:sz w:val="16"/>
              </w:rPr>
              <w:t>Complex, comparatively strong</w:t>
            </w:r>
          </w:p>
        </w:tc>
      </w:tr>
      <w:tr>
        <w:trPr>
          <w:cantSplit/>
        </w:trPr>
        <w:tc>
          <w:tcPr>
            <w:tcW w:type="dxa" w:w="1050"/>
            <w:vAlign w:val="top"/>
            <w:tcMar>
              <w:top w:w="85" w:type="dxa"/>
              <w:start w:w="120" w:type="dxa"/>
              <w:bottom w:w="85" w:type="dxa"/>
              <w:end w:w="120" w:type="dxa"/>
            </w:tcMar>
          </w:tcPr>
          <w:p>
            <w:pPr>
              <w:keepLines/>
              <w:spacing w:before="0" w:after="40" w:line="240" w:lineRule="auto"/>
            </w:pPr>
            <w:r>
              <w:rPr>
                <w:rFonts w:ascii="Calibri" w:hAnsi="Calibri"/>
                <w:b/>
                <w:color w:val="1F2937"/>
                <w:sz w:val="16"/>
              </w:rPr>
              <w:t>ii</w:t>
            </w:r>
          </w:p>
        </w:tc>
        <w:tc>
          <w:tcPr>
            <w:tcW w:type="dxa" w:w="900"/>
            <w:vAlign w:val="top"/>
            <w:tcMar>
              <w:top w:w="85" w:type="dxa"/>
              <w:start w:w="120" w:type="dxa"/>
              <w:bottom w:w="85" w:type="dxa"/>
              <w:end w:w="120" w:type="dxa"/>
            </w:tcMar>
          </w:tcPr>
          <w:p>
            <w:pPr>
              <w:keepLines/>
              <w:spacing w:before="0" w:after="40" w:line="240" w:lineRule="auto"/>
            </w:pPr>
            <w:r>
              <w:rPr>
                <w:rFonts w:ascii="Calibri" w:hAnsi="Calibri"/>
                <w:color w:val="1F2937"/>
                <w:sz w:val="16"/>
              </w:rPr>
              <w:t>19.46</w:t>
            </w:r>
          </w:p>
        </w:tc>
        <w:tc>
          <w:tcPr>
            <w:tcW w:type="dxa" w:w="1050"/>
            <w:vAlign w:val="top"/>
            <w:tcMar>
              <w:top w:w="85" w:type="dxa"/>
              <w:start w:w="120" w:type="dxa"/>
              <w:bottom w:w="85" w:type="dxa"/>
              <w:end w:w="120" w:type="dxa"/>
            </w:tcMar>
          </w:tcPr>
          <w:p>
            <w:pPr>
              <w:keepLines/>
              <w:spacing w:before="0" w:after="40" w:line="240" w:lineRule="auto"/>
            </w:pPr>
            <w:r>
              <w:rPr>
                <w:rFonts w:ascii="Calibri" w:hAnsi="Calibri"/>
                <w:color w:val="1F2937"/>
                <w:sz w:val="16"/>
              </w:rPr>
              <w:t>35.08</w:t>
            </w:r>
          </w:p>
        </w:tc>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1.02</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0.90</w:t>
            </w:r>
          </w:p>
        </w:tc>
        <w:tc>
          <w:tcPr>
            <w:tcW w:type="dxa" w:w="3810"/>
            <w:vAlign w:val="top"/>
            <w:tcMar>
              <w:top w:w="85" w:type="dxa"/>
              <w:start w:w="120" w:type="dxa"/>
              <w:bottom w:w="85" w:type="dxa"/>
              <w:end w:w="120" w:type="dxa"/>
            </w:tcMar>
          </w:tcPr>
          <w:p>
            <w:pPr>
              <w:keepLines/>
              <w:spacing w:before="0" w:after="40" w:line="240" w:lineRule="auto"/>
            </w:pPr>
            <w:r>
              <w:rPr>
                <w:rFonts w:ascii="Calibri" w:hAnsi="Calibri"/>
                <w:color w:val="1F2937"/>
                <w:sz w:val="16"/>
              </w:rPr>
              <w:t>Flatter modulation at a higher error level</w:t>
            </w:r>
          </w:p>
        </w:tc>
      </w:tr>
      <w:tr>
        <w:trPr>
          <w:cantSplit/>
        </w:trPr>
        <w:tc>
          <w:tcPr>
            <w:tcW w:type="dxa" w:w="1050"/>
            <w:vAlign w:val="top"/>
            <w:tcMar>
              <w:top w:w="85" w:type="dxa"/>
              <w:start w:w="120" w:type="dxa"/>
              <w:bottom w:w="85" w:type="dxa"/>
              <w:end w:w="120" w:type="dxa"/>
            </w:tcMar>
          </w:tcPr>
          <w:p>
            <w:pPr>
              <w:keepLines/>
              <w:spacing w:before="0" w:after="40" w:line="240" w:lineRule="auto"/>
            </w:pPr>
            <w:r>
              <w:rPr>
                <w:rFonts w:ascii="Calibri" w:hAnsi="Calibri"/>
                <w:b/>
                <w:color w:val="1F2937"/>
                <w:sz w:val="16"/>
              </w:rPr>
              <w:t>iii</w:t>
            </w:r>
          </w:p>
        </w:tc>
        <w:tc>
          <w:tcPr>
            <w:tcW w:type="dxa" w:w="900"/>
            <w:vAlign w:val="top"/>
            <w:tcMar>
              <w:top w:w="85" w:type="dxa"/>
              <w:start w:w="120" w:type="dxa"/>
              <w:bottom w:w="85" w:type="dxa"/>
              <w:end w:w="120" w:type="dxa"/>
            </w:tcMar>
          </w:tcPr>
          <w:p>
            <w:pPr>
              <w:keepLines/>
              <w:spacing w:before="0" w:after="40" w:line="240" w:lineRule="auto"/>
            </w:pPr>
            <w:r>
              <w:rPr>
                <w:rFonts w:ascii="Calibri" w:hAnsi="Calibri"/>
                <w:color w:val="1F2937"/>
                <w:sz w:val="16"/>
              </w:rPr>
              <w:t>20.09</w:t>
            </w:r>
          </w:p>
        </w:tc>
        <w:tc>
          <w:tcPr>
            <w:tcW w:type="dxa" w:w="1050"/>
            <w:vAlign w:val="top"/>
            <w:tcMar>
              <w:top w:w="85" w:type="dxa"/>
              <w:start w:w="120" w:type="dxa"/>
              <w:bottom w:w="85" w:type="dxa"/>
              <w:end w:w="120" w:type="dxa"/>
            </w:tcMar>
          </w:tcPr>
          <w:p>
            <w:pPr>
              <w:keepLines/>
              <w:spacing w:before="0" w:after="40" w:line="240" w:lineRule="auto"/>
            </w:pPr>
            <w:r>
              <w:rPr>
                <w:rFonts w:ascii="Calibri" w:hAnsi="Calibri"/>
                <w:color w:val="1F2937"/>
                <w:sz w:val="16"/>
              </w:rPr>
              <w:t>87.97</w:t>
            </w:r>
          </w:p>
        </w:tc>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1.02</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0.90</w:t>
            </w:r>
          </w:p>
        </w:tc>
        <w:tc>
          <w:tcPr>
            <w:tcW w:type="dxa" w:w="3810"/>
            <w:vAlign w:val="top"/>
            <w:tcMar>
              <w:top w:w="85" w:type="dxa"/>
              <w:start w:w="120" w:type="dxa"/>
              <w:bottom w:w="85" w:type="dxa"/>
              <w:end w:w="120" w:type="dxa"/>
            </w:tcMar>
          </w:tcPr>
          <w:p>
            <w:pPr>
              <w:keepLines/>
              <w:spacing w:before="0" w:after="40" w:line="240" w:lineRule="auto"/>
            </w:pPr>
            <w:r>
              <w:rPr>
                <w:rFonts w:ascii="Calibri" w:hAnsi="Calibri"/>
                <w:color w:val="1F2937"/>
                <w:sz w:val="16"/>
              </w:rPr>
              <w:t>Strongest p1-p2 sensitivity</w:t>
            </w:r>
          </w:p>
        </w:tc>
      </w:tr>
      <w:tr>
        <w:trPr>
          <w:cantSplit/>
        </w:trPr>
        <w:tc>
          <w:tcPr>
            <w:tcW w:type="dxa" w:w="1050"/>
            <w:vAlign w:val="top"/>
            <w:tcMar>
              <w:top w:w="85" w:type="dxa"/>
              <w:start w:w="120" w:type="dxa"/>
              <w:bottom w:w="85" w:type="dxa"/>
              <w:end w:w="120" w:type="dxa"/>
            </w:tcMar>
          </w:tcPr>
          <w:p>
            <w:pPr>
              <w:keepLines/>
              <w:spacing w:before="0" w:after="40" w:line="240" w:lineRule="auto"/>
            </w:pPr>
            <w:r>
              <w:rPr>
                <w:rFonts w:ascii="Calibri" w:hAnsi="Calibri"/>
                <w:b/>
                <w:color w:val="1F2937"/>
                <w:sz w:val="16"/>
              </w:rPr>
              <w:t>iv</w:t>
            </w:r>
          </w:p>
        </w:tc>
        <w:tc>
          <w:tcPr>
            <w:tcW w:type="dxa" w:w="900"/>
            <w:vAlign w:val="top"/>
            <w:tcMar>
              <w:top w:w="85" w:type="dxa"/>
              <w:start w:w="120" w:type="dxa"/>
              <w:bottom w:w="85" w:type="dxa"/>
              <w:end w:w="120" w:type="dxa"/>
            </w:tcMar>
          </w:tcPr>
          <w:p>
            <w:pPr>
              <w:keepLines/>
              <w:spacing w:before="0" w:after="40" w:line="240" w:lineRule="auto"/>
            </w:pPr>
            <w:r>
              <w:rPr>
                <w:rFonts w:ascii="Calibri" w:hAnsi="Calibri"/>
                <w:color w:val="1F2937"/>
                <w:sz w:val="16"/>
              </w:rPr>
              <w:t>19.57</w:t>
            </w:r>
          </w:p>
        </w:tc>
        <w:tc>
          <w:tcPr>
            <w:tcW w:type="dxa" w:w="1050"/>
            <w:vAlign w:val="top"/>
            <w:tcMar>
              <w:top w:w="85" w:type="dxa"/>
              <w:start w:w="120" w:type="dxa"/>
              <w:bottom w:w="85" w:type="dxa"/>
              <w:end w:w="120" w:type="dxa"/>
            </w:tcMar>
          </w:tcPr>
          <w:p>
            <w:pPr>
              <w:keepLines/>
              <w:spacing w:before="0" w:after="40" w:line="240" w:lineRule="auto"/>
            </w:pPr>
            <w:r>
              <w:rPr>
                <w:rFonts w:ascii="Calibri" w:hAnsi="Calibri"/>
                <w:color w:val="1F2937"/>
                <w:sz w:val="16"/>
              </w:rPr>
              <w:t>60.44</w:t>
            </w:r>
          </w:p>
        </w:tc>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1.02</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0.88</w:t>
            </w:r>
          </w:p>
        </w:tc>
        <w:tc>
          <w:tcPr>
            <w:tcW w:type="dxa" w:w="3810"/>
            <w:vAlign w:val="top"/>
            <w:tcMar>
              <w:top w:w="85" w:type="dxa"/>
              <w:start w:w="120" w:type="dxa"/>
              <w:bottom w:w="85" w:type="dxa"/>
              <w:end w:w="120" w:type="dxa"/>
            </w:tcMar>
          </w:tcPr>
          <w:p>
            <w:pPr>
              <w:keepLines/>
              <w:spacing w:before="0" w:after="40" w:line="240" w:lineRule="auto"/>
            </w:pPr>
            <w:r>
              <w:rPr>
                <w:rFonts w:ascii="Calibri" w:hAnsi="Calibri"/>
                <w:color w:val="1F2937"/>
                <w:sz w:val="16"/>
              </w:rPr>
              <w:t>Moderate sensitivity</w:t>
            </w:r>
          </w:p>
        </w:tc>
      </w:tr>
      <w:tr>
        <w:trPr>
          <w:cantSplit/>
        </w:trPr>
        <w:tc>
          <w:tcPr>
            <w:tcW w:type="dxa" w:w="1050"/>
            <w:vAlign w:val="top"/>
            <w:tcMar>
              <w:top w:w="85" w:type="dxa"/>
              <w:start w:w="120" w:type="dxa"/>
              <w:bottom w:w="85" w:type="dxa"/>
              <w:end w:w="120" w:type="dxa"/>
            </w:tcMar>
          </w:tcPr>
          <w:p>
            <w:pPr>
              <w:keepLines/>
              <w:spacing w:before="0" w:after="40" w:line="240" w:lineRule="auto"/>
            </w:pPr>
            <w:r>
              <w:rPr>
                <w:rFonts w:ascii="Calibri" w:hAnsi="Calibri"/>
                <w:b/>
                <w:color w:val="1F2937"/>
                <w:sz w:val="16"/>
              </w:rPr>
              <w:t>v</w:t>
            </w:r>
          </w:p>
        </w:tc>
        <w:tc>
          <w:tcPr>
            <w:tcW w:type="dxa" w:w="900"/>
            <w:vAlign w:val="top"/>
            <w:tcMar>
              <w:top w:w="85" w:type="dxa"/>
              <w:start w:w="120" w:type="dxa"/>
              <w:bottom w:w="85" w:type="dxa"/>
              <w:end w:w="120" w:type="dxa"/>
            </w:tcMar>
          </w:tcPr>
          <w:p>
            <w:pPr>
              <w:keepLines/>
              <w:spacing w:before="0" w:after="40" w:line="240" w:lineRule="auto"/>
            </w:pPr>
            <w:r>
              <w:rPr>
                <w:rFonts w:ascii="Calibri" w:hAnsi="Calibri"/>
                <w:color w:val="1F2937"/>
                <w:sz w:val="16"/>
              </w:rPr>
              <w:t>19.83</w:t>
            </w:r>
          </w:p>
        </w:tc>
        <w:tc>
          <w:tcPr>
            <w:tcW w:type="dxa" w:w="1050"/>
            <w:vAlign w:val="top"/>
            <w:tcMar>
              <w:top w:w="85" w:type="dxa"/>
              <w:start w:w="120" w:type="dxa"/>
              <w:bottom w:w="85" w:type="dxa"/>
              <w:end w:w="120" w:type="dxa"/>
            </w:tcMar>
          </w:tcPr>
          <w:p>
            <w:pPr>
              <w:keepLines/>
              <w:spacing w:before="0" w:after="40" w:line="240" w:lineRule="auto"/>
            </w:pPr>
            <w:r>
              <w:rPr>
                <w:rFonts w:ascii="Calibri" w:hAnsi="Calibri"/>
                <w:color w:val="1F2937"/>
                <w:sz w:val="16"/>
              </w:rPr>
              <w:t>58.78</w:t>
            </w:r>
          </w:p>
        </w:tc>
        <w:tc>
          <w:tcPr>
            <w:tcW w:type="dxa" w:w="1200"/>
            <w:vAlign w:val="top"/>
            <w:tcMar>
              <w:top w:w="85" w:type="dxa"/>
              <w:start w:w="120" w:type="dxa"/>
              <w:bottom w:w="85" w:type="dxa"/>
              <w:end w:w="120" w:type="dxa"/>
            </w:tcMar>
          </w:tcPr>
          <w:p>
            <w:pPr>
              <w:keepLines/>
              <w:spacing w:before="0" w:after="40" w:line="240" w:lineRule="auto"/>
            </w:pPr>
            <w:r>
              <w:rPr>
                <w:rFonts w:ascii="Calibri" w:hAnsi="Calibri"/>
                <w:color w:val="1F2937"/>
                <w:sz w:val="16"/>
              </w:rPr>
              <w:t>1.02</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0.89</w:t>
            </w:r>
          </w:p>
        </w:tc>
        <w:tc>
          <w:tcPr>
            <w:tcW w:type="dxa" w:w="3810"/>
            <w:vAlign w:val="top"/>
            <w:tcMar>
              <w:top w:w="85" w:type="dxa"/>
              <w:start w:w="120" w:type="dxa"/>
              <w:bottom w:w="85" w:type="dxa"/>
              <w:end w:w="120" w:type="dxa"/>
            </w:tcMar>
          </w:tcPr>
          <w:p>
            <w:pPr>
              <w:keepLines/>
              <w:spacing w:before="0" w:after="40" w:line="240" w:lineRule="auto"/>
            </w:pPr>
            <w:r>
              <w:rPr>
                <w:rFonts w:ascii="Calibri" w:hAnsi="Calibri"/>
                <w:color w:val="1F2937"/>
                <w:sz w:val="16"/>
              </w:rPr>
              <w:t>Moderate sensitivity</w:t>
            </w:r>
          </w:p>
        </w:tc>
      </w:tr>
    </w:tbl>
    <w:p>
      <w:pPr>
        <w:spacing w:after="0"/>
      </w:pPr>
    </w:p>
    <w:p>
      <w:pPr>
        <w:keepLines/>
      </w:pPr>
      <w:r>
        <w:t>All five smooths are highly significant, but their morphology is more informative than their p-values. The partial-effect panels show a broad positive interior dome and negative effects toward several boundary regions. Methods iii, iv, and v share a broadly similar interior peak, while method i is more irregular and method ii has a broad plateau. Method iii has the greatest statistical sensitivity to location on the simplex, whereas method ii varies least across p1-p2 after its higher overall level is accounted for.</w:t>
      </w:r>
    </w:p>
    <w:p>
      <w:pPr>
        <w:keepNext/>
        <w:spacing w:before="80" w:after="60"/>
        <w:jc w:val="center"/>
      </w:pPr>
      <w:r>
        <w:drawing>
          <wp:inline xmlns:a="http://schemas.openxmlformats.org/drawingml/2006/main" xmlns:pic="http://schemas.openxmlformats.org/drawingml/2006/picture">
            <wp:extent cx="5897880" cy="3930960"/>
            <wp:docPr id="1" name="Picture 1" descr="Five panels showing method-specific partial smooth effects over the triangular p1-p2 simplex support."/>
            <wp:cNvGraphicFramePr>
              <a:graphicFrameLocks noChangeAspect="1"/>
            </wp:cNvGraphicFramePr>
            <a:graphic>
              <a:graphicData uri="http://schemas.openxmlformats.org/drawingml/2006/picture">
                <pic:pic>
                  <pic:nvPicPr>
                    <pic:cNvPr id="0" name="code_E_global_gratia_smooths(7).png"/>
                    <pic:cNvPicPr/>
                  </pic:nvPicPr>
                  <pic:blipFill>
                    <a:blip r:embed="rId11"/>
                    <a:stretch>
                      <a:fillRect/>
                    </a:stretch>
                  </pic:blipFill>
                  <pic:spPr>
                    <a:xfrm>
                      <a:off x="0" y="0"/>
                      <a:ext cx="5897880" cy="3930960"/>
                    </a:xfrm>
                    <a:prstGeom prst="rect"/>
                  </pic:spPr>
                </pic:pic>
              </a:graphicData>
            </a:graphic>
          </wp:inline>
        </w:drawing>
      </w:r>
    </w:p>
    <w:p>
      <w:pPr>
        <w:keepLines/>
        <w:spacing w:after="160"/>
        <w:jc w:val="center"/>
      </w:pPr>
      <w:r>
        <w:rPr>
          <w:rFonts w:ascii="Calibri" w:hAnsi="Calibri"/>
          <w:i/>
          <w:color w:val="5B6573"/>
          <w:sz w:val="17"/>
        </w:rPr>
        <w:t>Figure 1. Method-specific partial p1-p2 smooths from gratia::draw. Red indicates increased log1p error relative to each centered smooth; blue indicates decreased error.</w:t>
      </w:r>
    </w:p>
    <w:p>
      <w:r>
        <w:br w:type="page"/>
      </w:r>
    </w:p>
    <w:p>
      <w:pPr>
        <w:pStyle w:val="Heading2"/>
        <w:keepNext/>
      </w:pPr>
      <w:r>
        <w:t>3.1 Conditional fitted surfaces</w:t>
      </w:r>
    </w:p>
    <w:p>
      <w:pPr>
        <w:keepLines/>
      </w:pPr>
      <w:r>
        <w:t>The vis.gam panels combine the parametric and smooth components at default conditioning values. Method ii is visibly elevated across the surface, with central fitted values near 0.22-0.225 on the log1p scale, compared with approximately 0.19-0.20 for the other methods. Methods iii, iv, and v form a close low-error group; method i is intermediate. These plots support the coefficient-based hierarchy but are conditional rather than marginal summaries.</w:t>
      </w:r>
    </w:p>
    <w:p>
      <w:pPr>
        <w:keepNext/>
        <w:spacing w:before="80" w:after="60"/>
        <w:jc w:val="center"/>
      </w:pPr>
      <w:r>
        <w:drawing>
          <wp:inline xmlns:a="http://schemas.openxmlformats.org/drawingml/2006/main" xmlns:pic="http://schemas.openxmlformats.org/drawingml/2006/picture">
            <wp:extent cx="5897880" cy="3930960"/>
            <wp:docPr id="2" name="Picture 2" descr="Five contour panels showing conditional fitted log1p accuracy over p1 and p2 for methods i through v."/>
            <wp:cNvGraphicFramePr>
              <a:graphicFrameLocks noChangeAspect="1"/>
            </wp:cNvGraphicFramePr>
            <a:graphic>
              <a:graphicData uri="http://schemas.openxmlformats.org/drawingml/2006/picture">
                <pic:pic>
                  <pic:nvPicPr>
                    <pic:cNvPr id="0" name="code_E_global_method_surfaces_panel(5).png"/>
                    <pic:cNvPicPr/>
                  </pic:nvPicPr>
                  <pic:blipFill>
                    <a:blip r:embed="rId12"/>
                    <a:stretch>
                      <a:fillRect/>
                    </a:stretch>
                  </pic:blipFill>
                  <pic:spPr>
                    <a:xfrm>
                      <a:off x="0" y="0"/>
                      <a:ext cx="5897880" cy="3930960"/>
                    </a:xfrm>
                    <a:prstGeom prst="rect"/>
                  </pic:spPr>
                </pic:pic>
              </a:graphicData>
            </a:graphic>
          </wp:inline>
        </w:drawing>
      </w:r>
    </w:p>
    <w:p>
      <w:pPr>
        <w:keepLines/>
        <w:spacing w:after="160"/>
        <w:jc w:val="center"/>
      </w:pPr>
      <w:r>
        <w:rPr>
          <w:rFonts w:ascii="Calibri" w:hAnsi="Calibri"/>
          <w:i/>
          <w:color w:val="5B6573"/>
          <w:sz w:val="17"/>
        </w:rPr>
        <w:t>Figure 2. Conditional fitted log1p-accuracy surfaces from vis.gam for methods i-v.</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5" w:type="dxa"/>
              <w:start w:w="120" w:type="dxa"/>
              <w:bottom w:w="85" w:type="dxa"/>
              <w:end w:w="120" w:type="dxa"/>
            </w:tcMar>
          </w:tcPr>
          <w:p>
            <w:pPr>
              <w:keepLines/>
              <w:spacing w:after="0"/>
            </w:pPr>
            <w:r>
              <w:rPr>
                <w:b/>
                <w:color w:val="1F4D78"/>
              </w:rPr>
              <w:t xml:space="preserve">Simplex-domain warning. </w:t>
            </w:r>
            <w:r>
              <w:t>Valid three-part compositions require p1 &gt;= 0, p2 &gt;= 0, and p1 + p2 &lt;= 1. The rectangular vis.gam grids extend into the impossible region p1 + p2 &gt; 1. Apparent features in that region are extrapolations and must not be interpreted. The gratia panels, which show the observed triangular support, are the safer basis for morphological conclusions.</w:t>
            </w:r>
          </w:p>
        </w:tc>
      </w:tr>
    </w:tbl>
    <w:p>
      <w:pPr>
        <w:spacing w:after="0"/>
      </w:pPr>
    </w:p>
    <w:p>
      <w:r>
        <w:br w:type="page"/>
      </w:r>
    </w:p>
    <w:p>
      <w:pPr>
        <w:pStyle w:val="Heading1"/>
        <w:keepNext/>
      </w:pPr>
      <w:r>
        <w:t>4. Absolute v-versus-iii gap</w:t>
      </w:r>
    </w:p>
    <w:p>
      <w:pPr>
        <w:pStyle w:val="Heading2"/>
        <w:keepNext/>
      </w:pPr>
      <w:r>
        <w:t>4.1 Parametric effects on gap magnitude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1350"/>
        <w:gridCol w:w="1000"/>
        <w:gridCol w:w="1550"/>
        <w:gridCol w:w="2960"/>
      </w:tblGrid>
      <w:tr>
        <w:trPr>
          <w:trHeight w:hRule="atLeast"/>
          <w:tblHeader w:val="true"/>
        </w:trPr>
        <w:tc>
          <w:tcPr>
            <w:tcW w:type="dxa" w:w="2500"/>
            <w:shd w:fill="E8EEF5"/>
            <w:vAlign w:val="center"/>
            <w:tcMar>
              <w:top w:w="85" w:type="dxa"/>
              <w:start w:w="120" w:type="dxa"/>
              <w:bottom w:w="85" w:type="dxa"/>
              <w:end w:w="120" w:type="dxa"/>
            </w:tcMar>
          </w:tcPr>
          <w:p>
            <w:pPr>
              <w:keepLines/>
              <w:spacing w:before="0" w:after="0"/>
            </w:pPr>
            <w:r>
              <w:rPr>
                <w:rFonts w:ascii="Calibri" w:hAnsi="Calibri"/>
                <w:b/>
                <w:color w:val="1F4D78"/>
                <w:sz w:val="16"/>
              </w:rPr>
              <w:t>Term</w:t>
            </w:r>
          </w:p>
        </w:tc>
        <w:tc>
          <w:tcPr>
            <w:tcW w:type="dxa" w:w="1350"/>
            <w:shd w:fill="E8EEF5"/>
            <w:vAlign w:val="center"/>
            <w:tcMar>
              <w:top w:w="85" w:type="dxa"/>
              <w:start w:w="120" w:type="dxa"/>
              <w:bottom w:w="85" w:type="dxa"/>
              <w:end w:w="120" w:type="dxa"/>
            </w:tcMar>
          </w:tcPr>
          <w:p>
            <w:pPr>
              <w:keepLines/>
              <w:spacing w:before="0" w:after="0"/>
            </w:pPr>
            <w:r>
              <w:rPr>
                <w:rFonts w:ascii="Calibri" w:hAnsi="Calibri"/>
                <w:b/>
                <w:color w:val="1F4D78"/>
                <w:sz w:val="16"/>
              </w:rPr>
              <w:t>Coefficient</w:t>
            </w:r>
          </w:p>
        </w:tc>
        <w:tc>
          <w:tcPr>
            <w:tcW w:type="dxa" w:w="1000"/>
            <w:shd w:fill="E8EEF5"/>
            <w:vAlign w:val="center"/>
            <w:tcMar>
              <w:top w:w="85" w:type="dxa"/>
              <w:start w:w="120" w:type="dxa"/>
              <w:bottom w:w="85" w:type="dxa"/>
              <w:end w:w="120" w:type="dxa"/>
            </w:tcMar>
          </w:tcPr>
          <w:p>
            <w:pPr>
              <w:keepLines/>
              <w:spacing w:before="0" w:after="0"/>
            </w:pPr>
            <w:r>
              <w:rPr>
                <w:rFonts w:ascii="Calibri" w:hAnsi="Calibri"/>
                <w:b/>
                <w:color w:val="1F4D78"/>
                <w:sz w:val="16"/>
              </w:rPr>
              <w:t>t</w:t>
            </w:r>
          </w:p>
        </w:tc>
        <w:tc>
          <w:tcPr>
            <w:tcW w:type="dxa" w:w="1550"/>
            <w:shd w:fill="E8EEF5"/>
            <w:vAlign w:val="center"/>
            <w:tcMar>
              <w:top w:w="85" w:type="dxa"/>
              <w:start w:w="120" w:type="dxa"/>
              <w:bottom w:w="85" w:type="dxa"/>
              <w:end w:w="120" w:type="dxa"/>
            </w:tcMar>
          </w:tcPr>
          <w:p>
            <w:pPr>
              <w:keepLines/>
              <w:spacing w:before="0" w:after="0"/>
            </w:pPr>
            <w:r>
              <w:rPr>
                <w:rFonts w:ascii="Calibri" w:hAnsi="Calibri"/>
                <w:b/>
                <w:color w:val="1F4D78"/>
                <w:sz w:val="16"/>
              </w:rPr>
              <w:t>p</w:t>
            </w:r>
          </w:p>
        </w:tc>
        <w:tc>
          <w:tcPr>
            <w:tcW w:type="dxa" w:w="2960"/>
            <w:shd w:fill="E8EEF5"/>
            <w:vAlign w:val="center"/>
            <w:tcMar>
              <w:top w:w="85" w:type="dxa"/>
              <w:start w:w="120" w:type="dxa"/>
              <w:bottom w:w="85" w:type="dxa"/>
              <w:end w:w="120" w:type="dxa"/>
            </w:tcMar>
          </w:tcPr>
          <w:p>
            <w:pPr>
              <w:keepLines/>
              <w:spacing w:before="0" w:after="0"/>
            </w:pPr>
            <w:r>
              <w:rPr>
                <w:rFonts w:ascii="Calibri" w:hAnsi="Calibri"/>
                <w:b/>
                <w:color w:val="1F4D78"/>
                <w:sz w:val="16"/>
              </w:rPr>
              <w:t>Interpretation</w:t>
            </w:r>
          </w:p>
        </w:tc>
      </w:tr>
      <w:tr>
        <w:trPr>
          <w:cantSplit/>
        </w:trPr>
        <w:tc>
          <w:tcPr>
            <w:tcW w:type="dxa" w:w="2500"/>
            <w:vAlign w:val="top"/>
            <w:tcMar>
              <w:top w:w="85" w:type="dxa"/>
              <w:start w:w="120" w:type="dxa"/>
              <w:bottom w:w="85" w:type="dxa"/>
              <w:end w:w="120" w:type="dxa"/>
            </w:tcMar>
          </w:tcPr>
          <w:p>
            <w:pPr>
              <w:keepLines/>
              <w:spacing w:before="0" w:after="40" w:line="240" w:lineRule="auto"/>
            </w:pPr>
            <w:r>
              <w:rPr>
                <w:rFonts w:ascii="Calibri" w:hAnsi="Calibri"/>
                <w:b/>
                <w:color w:val="1F2937"/>
                <w:sz w:val="16"/>
              </w:rPr>
              <w:t>sigma</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+0.006597</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159.09</w:t>
            </w:r>
          </w:p>
        </w:tc>
        <w:tc>
          <w:tcPr>
            <w:tcW w:type="dxa" w:w="1550"/>
            <w:vAlign w:val="top"/>
            <w:tcMar>
              <w:top w:w="85" w:type="dxa"/>
              <w:start w:w="120" w:type="dxa"/>
              <w:bottom w:w="85" w:type="dxa"/>
              <w:end w:w="120" w:type="dxa"/>
            </w:tcMar>
          </w:tcPr>
          <w:p>
            <w:pPr>
              <w:keepLines/>
              <w:spacing w:before="0" w:after="40" w:line="240" w:lineRule="auto"/>
            </w:pPr>
            <w:r>
              <w:rPr>
                <w:rFonts w:ascii="Calibri" w:hAnsi="Calibri"/>
                <w:color w:val="1F2937"/>
                <w:sz w:val="16"/>
              </w:rPr>
              <w:t>&lt;2 x 10^-16</w:t>
            </w:r>
          </w:p>
        </w:tc>
        <w:tc>
          <w:tcPr>
            <w:tcW w:type="dxa" w:w="2960"/>
            <w:vAlign w:val="top"/>
            <w:tcMar>
              <w:top w:w="85" w:type="dxa"/>
              <w:start w:w="120" w:type="dxa"/>
              <w:bottom w:w="85" w:type="dxa"/>
              <w:end w:w="120" w:type="dxa"/>
            </w:tcMar>
          </w:tcPr>
          <w:p>
            <w:pPr>
              <w:keepLines/>
              <w:spacing w:before="0" w:after="40" w:line="240" w:lineRule="auto"/>
            </w:pPr>
            <w:r>
              <w:rPr>
                <w:rFonts w:ascii="Calibri" w:hAnsi="Calibri"/>
                <w:color w:val="1F2937"/>
                <w:sz w:val="16"/>
              </w:rPr>
              <w:t>Dominant widening of absolute gap</w:t>
            </w:r>
          </w:p>
        </w:tc>
      </w:tr>
      <w:tr>
        <w:trPr>
          <w:cantSplit/>
        </w:trPr>
        <w:tc>
          <w:tcPr>
            <w:tcW w:type="dxa" w:w="2500"/>
            <w:vAlign w:val="top"/>
            <w:tcMar>
              <w:top w:w="85" w:type="dxa"/>
              <w:start w:w="120" w:type="dxa"/>
              <w:bottom w:w="85" w:type="dxa"/>
              <w:end w:w="120" w:type="dxa"/>
            </w:tcMar>
          </w:tcPr>
          <w:p>
            <w:pPr>
              <w:keepLines/>
              <w:spacing w:before="0" w:after="40" w:line="240" w:lineRule="auto"/>
            </w:pPr>
            <w:r>
              <w:rPr>
                <w:rFonts w:ascii="Calibri" w:hAnsi="Calibri"/>
                <w:b/>
                <w:color w:val="1F2937"/>
                <w:sz w:val="16"/>
              </w:rPr>
              <w:t>theta_true</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-0.001197</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-28.87</w:t>
            </w:r>
          </w:p>
        </w:tc>
        <w:tc>
          <w:tcPr>
            <w:tcW w:type="dxa" w:w="1550"/>
            <w:vAlign w:val="top"/>
            <w:tcMar>
              <w:top w:w="85" w:type="dxa"/>
              <w:start w:w="120" w:type="dxa"/>
              <w:bottom w:w="85" w:type="dxa"/>
              <w:end w:w="120" w:type="dxa"/>
            </w:tcMar>
          </w:tcPr>
          <w:p>
            <w:pPr>
              <w:keepLines/>
              <w:spacing w:before="0" w:after="40" w:line="240" w:lineRule="auto"/>
            </w:pPr>
            <w:r>
              <w:rPr>
                <w:rFonts w:ascii="Calibri" w:hAnsi="Calibri"/>
                <w:color w:val="1F2937"/>
                <w:sz w:val="16"/>
              </w:rPr>
              <w:t>&lt;2 x 10^-16</w:t>
            </w:r>
          </w:p>
        </w:tc>
        <w:tc>
          <w:tcPr>
            <w:tcW w:type="dxa" w:w="2960"/>
            <w:vAlign w:val="top"/>
            <w:tcMar>
              <w:top w:w="85" w:type="dxa"/>
              <w:start w:w="120" w:type="dxa"/>
              <w:bottom w:w="85" w:type="dxa"/>
              <w:end w:w="120" w:type="dxa"/>
            </w:tcMar>
          </w:tcPr>
          <w:p>
            <w:pPr>
              <w:keepLines/>
              <w:spacing w:before="0" w:after="40" w:line="240" w:lineRule="auto"/>
            </w:pPr>
            <w:r>
              <w:rPr>
                <w:rFonts w:ascii="Calibri" w:hAnsi="Calibri"/>
                <w:color w:val="1F2937"/>
                <w:sz w:val="16"/>
              </w:rPr>
              <w:t>Gap narrows as theta_true increases</w:t>
            </w:r>
          </w:p>
        </w:tc>
      </w:tr>
      <w:tr>
        <w:trPr>
          <w:cantSplit/>
        </w:trPr>
        <w:tc>
          <w:tcPr>
            <w:tcW w:type="dxa" w:w="2500"/>
            <w:vAlign w:val="top"/>
            <w:tcMar>
              <w:top w:w="85" w:type="dxa"/>
              <w:start w:w="120" w:type="dxa"/>
              <w:bottom w:w="85" w:type="dxa"/>
              <w:end w:w="120" w:type="dxa"/>
            </w:tcMar>
          </w:tcPr>
          <w:p>
            <w:pPr>
              <w:keepLines/>
              <w:spacing w:before="0" w:after="40" w:line="240" w:lineRule="auto"/>
            </w:pPr>
            <w:r>
              <w:rPr>
                <w:rFonts w:ascii="Calibri" w:hAnsi="Calibri"/>
                <w:b/>
                <w:color w:val="1F2937"/>
                <w:sz w:val="16"/>
              </w:rPr>
              <w:t>Negative binomial vs lognormal</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-0.001880</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-22.67</w:t>
            </w:r>
          </w:p>
        </w:tc>
        <w:tc>
          <w:tcPr>
            <w:tcW w:type="dxa" w:w="1550"/>
            <w:vAlign w:val="top"/>
            <w:tcMar>
              <w:top w:w="85" w:type="dxa"/>
              <w:start w:w="120" w:type="dxa"/>
              <w:bottom w:w="85" w:type="dxa"/>
              <w:end w:w="120" w:type="dxa"/>
            </w:tcMar>
          </w:tcPr>
          <w:p>
            <w:pPr>
              <w:keepLines/>
              <w:spacing w:before="0" w:after="40" w:line="240" w:lineRule="auto"/>
            </w:pPr>
            <w:r>
              <w:rPr>
                <w:rFonts w:ascii="Calibri" w:hAnsi="Calibri"/>
                <w:color w:val="1F2937"/>
                <w:sz w:val="16"/>
              </w:rPr>
              <w:t>&lt;2 x 10^-16</w:t>
            </w:r>
          </w:p>
        </w:tc>
        <w:tc>
          <w:tcPr>
            <w:tcW w:type="dxa" w:w="2960"/>
            <w:vAlign w:val="top"/>
            <w:tcMar>
              <w:top w:w="85" w:type="dxa"/>
              <w:start w:w="120" w:type="dxa"/>
              <w:bottom w:w="85" w:type="dxa"/>
              <w:end w:w="120" w:type="dxa"/>
            </w:tcMar>
          </w:tcPr>
          <w:p>
            <w:pPr>
              <w:keepLines/>
              <w:spacing w:before="0" w:after="40" w:line="240" w:lineRule="auto"/>
            </w:pPr>
            <w:r>
              <w:rPr>
                <w:rFonts w:ascii="Calibri" w:hAnsi="Calibri"/>
                <w:color w:val="1F2937"/>
                <w:sz w:val="16"/>
              </w:rPr>
              <w:t>Smaller gap than lognormal</w:t>
            </w:r>
          </w:p>
        </w:tc>
      </w:tr>
      <w:tr>
        <w:trPr>
          <w:cantSplit/>
        </w:trPr>
        <w:tc>
          <w:tcPr>
            <w:tcW w:type="dxa" w:w="2500"/>
            <w:vAlign w:val="top"/>
            <w:tcMar>
              <w:top w:w="85" w:type="dxa"/>
              <w:start w:w="120" w:type="dxa"/>
              <w:bottom w:w="85" w:type="dxa"/>
              <w:end w:w="120" w:type="dxa"/>
            </w:tcMar>
          </w:tcPr>
          <w:p>
            <w:pPr>
              <w:keepLines/>
              <w:spacing w:before="0" w:after="40" w:line="240" w:lineRule="auto"/>
            </w:pPr>
            <w:r>
              <w:rPr>
                <w:rFonts w:ascii="Calibri" w:hAnsi="Calibri"/>
                <w:b/>
                <w:color w:val="1F2937"/>
                <w:sz w:val="16"/>
              </w:rPr>
              <w:t>Poisson vs lognormal</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-0.001760</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-21.23</w:t>
            </w:r>
          </w:p>
        </w:tc>
        <w:tc>
          <w:tcPr>
            <w:tcW w:type="dxa" w:w="1550"/>
            <w:vAlign w:val="top"/>
            <w:tcMar>
              <w:top w:w="85" w:type="dxa"/>
              <w:start w:w="120" w:type="dxa"/>
              <w:bottom w:w="85" w:type="dxa"/>
              <w:end w:w="120" w:type="dxa"/>
            </w:tcMar>
          </w:tcPr>
          <w:p>
            <w:pPr>
              <w:keepLines/>
              <w:spacing w:before="0" w:after="40" w:line="240" w:lineRule="auto"/>
            </w:pPr>
            <w:r>
              <w:rPr>
                <w:rFonts w:ascii="Calibri" w:hAnsi="Calibri"/>
                <w:color w:val="1F2937"/>
                <w:sz w:val="16"/>
              </w:rPr>
              <w:t>&lt;2 x 10^-16</w:t>
            </w:r>
          </w:p>
        </w:tc>
        <w:tc>
          <w:tcPr>
            <w:tcW w:type="dxa" w:w="2960"/>
            <w:vAlign w:val="top"/>
            <w:tcMar>
              <w:top w:w="85" w:type="dxa"/>
              <w:start w:w="120" w:type="dxa"/>
              <w:bottom w:w="85" w:type="dxa"/>
              <w:end w:w="120" w:type="dxa"/>
            </w:tcMar>
          </w:tcPr>
          <w:p>
            <w:pPr>
              <w:keepLines/>
              <w:spacing w:before="0" w:after="40" w:line="240" w:lineRule="auto"/>
            </w:pPr>
            <w:r>
              <w:rPr>
                <w:rFonts w:ascii="Calibri" w:hAnsi="Calibri"/>
                <w:color w:val="1F2937"/>
                <w:sz w:val="16"/>
              </w:rPr>
              <w:t>Smaller gap than lognormal</w:t>
            </w:r>
          </w:p>
        </w:tc>
      </w:tr>
      <w:tr>
        <w:trPr>
          <w:cantSplit/>
        </w:trPr>
        <w:tc>
          <w:tcPr>
            <w:tcW w:type="dxa" w:w="2500"/>
            <w:vAlign w:val="top"/>
            <w:tcMar>
              <w:top w:w="85" w:type="dxa"/>
              <w:start w:w="120" w:type="dxa"/>
              <w:bottom w:w="85" w:type="dxa"/>
              <w:end w:w="120" w:type="dxa"/>
            </w:tcMar>
          </w:tcPr>
          <w:p>
            <w:pPr>
              <w:keepLines/>
              <w:spacing w:before="0" w:after="40" w:line="240" w:lineRule="auto"/>
            </w:pPr>
            <w:r>
              <w:rPr>
                <w:rFonts w:ascii="Calibri" w:hAnsi="Calibri"/>
                <w:b/>
                <w:color w:val="1F2937"/>
                <w:sz w:val="16"/>
              </w:rPr>
              <w:t>theta_CV</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+0.000264</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6.37</w:t>
            </w:r>
          </w:p>
        </w:tc>
        <w:tc>
          <w:tcPr>
            <w:tcW w:type="dxa" w:w="1550"/>
            <w:vAlign w:val="top"/>
            <w:tcMar>
              <w:top w:w="85" w:type="dxa"/>
              <w:start w:w="120" w:type="dxa"/>
              <w:bottom w:w="85" w:type="dxa"/>
              <w:end w:w="120" w:type="dxa"/>
            </w:tcMar>
          </w:tcPr>
          <w:p>
            <w:pPr>
              <w:keepLines/>
              <w:spacing w:before="0" w:after="40" w:line="240" w:lineRule="auto"/>
            </w:pPr>
            <w:r>
              <w:rPr>
                <w:rFonts w:ascii="Calibri" w:hAnsi="Calibri"/>
                <w:color w:val="1F2937"/>
                <w:sz w:val="16"/>
              </w:rPr>
              <w:t>1.90 x 10^-10</w:t>
            </w:r>
          </w:p>
        </w:tc>
        <w:tc>
          <w:tcPr>
            <w:tcW w:type="dxa" w:w="2960"/>
            <w:vAlign w:val="top"/>
            <w:tcMar>
              <w:top w:w="85" w:type="dxa"/>
              <w:start w:w="120" w:type="dxa"/>
              <w:bottom w:w="85" w:type="dxa"/>
              <w:end w:w="120" w:type="dxa"/>
            </w:tcMar>
          </w:tcPr>
          <w:p>
            <w:pPr>
              <w:keepLines/>
              <w:spacing w:before="0" w:after="40" w:line="240" w:lineRule="auto"/>
            </w:pPr>
            <w:r>
              <w:rPr>
                <w:rFonts w:ascii="Calibri" w:hAnsi="Calibri"/>
                <w:color w:val="1F2937"/>
                <w:sz w:val="16"/>
              </w:rPr>
              <w:t>Very small widening</w:t>
            </w:r>
          </w:p>
        </w:tc>
      </w:tr>
      <w:tr>
        <w:trPr>
          <w:cantSplit/>
        </w:trPr>
        <w:tc>
          <w:tcPr>
            <w:tcW w:type="dxa" w:w="2500"/>
            <w:vAlign w:val="top"/>
            <w:tcMar>
              <w:top w:w="85" w:type="dxa"/>
              <w:start w:w="120" w:type="dxa"/>
              <w:bottom w:w="85" w:type="dxa"/>
              <w:end w:w="120" w:type="dxa"/>
            </w:tcMar>
          </w:tcPr>
          <w:p>
            <w:pPr>
              <w:keepLines/>
              <w:spacing w:before="0" w:after="40" w:line="240" w:lineRule="auto"/>
            </w:pPr>
            <w:r>
              <w:rPr>
                <w:rFonts w:ascii="Calibri" w:hAnsi="Calibri"/>
                <w:b/>
                <w:color w:val="1F2937"/>
                <w:sz w:val="16"/>
              </w:rPr>
              <w:t>G</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+0.000188</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4.54</w:t>
            </w:r>
          </w:p>
        </w:tc>
        <w:tc>
          <w:tcPr>
            <w:tcW w:type="dxa" w:w="1550"/>
            <w:vAlign w:val="top"/>
            <w:tcMar>
              <w:top w:w="85" w:type="dxa"/>
              <w:start w:w="120" w:type="dxa"/>
              <w:bottom w:w="85" w:type="dxa"/>
              <w:end w:w="120" w:type="dxa"/>
            </w:tcMar>
          </w:tcPr>
          <w:p>
            <w:pPr>
              <w:keepLines/>
              <w:spacing w:before="0" w:after="40" w:line="240" w:lineRule="auto"/>
            </w:pPr>
            <w:r>
              <w:rPr>
                <w:rFonts w:ascii="Calibri" w:hAnsi="Calibri"/>
                <w:color w:val="1F2937"/>
                <w:sz w:val="16"/>
              </w:rPr>
              <w:t>5.64 x 10^-6</w:t>
            </w:r>
          </w:p>
        </w:tc>
        <w:tc>
          <w:tcPr>
            <w:tcW w:type="dxa" w:w="2960"/>
            <w:vAlign w:val="top"/>
            <w:tcMar>
              <w:top w:w="85" w:type="dxa"/>
              <w:start w:w="120" w:type="dxa"/>
              <w:bottom w:w="85" w:type="dxa"/>
              <w:end w:w="120" w:type="dxa"/>
            </w:tcMar>
          </w:tcPr>
          <w:p>
            <w:pPr>
              <w:keepLines/>
              <w:spacing w:before="0" w:after="40" w:line="240" w:lineRule="auto"/>
            </w:pPr>
            <w:r>
              <w:rPr>
                <w:rFonts w:ascii="Calibri" w:hAnsi="Calibri"/>
                <w:color w:val="1F2937"/>
                <w:sz w:val="16"/>
              </w:rPr>
              <w:t>Very small widening</w:t>
            </w:r>
          </w:p>
        </w:tc>
      </w:tr>
      <w:tr>
        <w:trPr>
          <w:cantSplit/>
        </w:trPr>
        <w:tc>
          <w:tcPr>
            <w:tcW w:type="dxa" w:w="2500"/>
            <w:vAlign w:val="top"/>
            <w:tcMar>
              <w:top w:w="85" w:type="dxa"/>
              <w:start w:w="120" w:type="dxa"/>
              <w:bottom w:w="85" w:type="dxa"/>
              <w:end w:w="120" w:type="dxa"/>
            </w:tcMar>
          </w:tcPr>
          <w:p>
            <w:pPr>
              <w:keepLines/>
              <w:spacing w:before="0" w:after="40" w:line="240" w:lineRule="auto"/>
            </w:pPr>
            <w:r>
              <w:rPr>
                <w:rFonts w:ascii="Calibri" w:hAnsi="Calibri"/>
                <w:b/>
                <w:color w:val="1F2937"/>
                <w:sz w:val="16"/>
              </w:rPr>
              <w:t>mean_nsamp</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+0.000038</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0.91</w:t>
            </w:r>
          </w:p>
        </w:tc>
        <w:tc>
          <w:tcPr>
            <w:tcW w:type="dxa" w:w="1550"/>
            <w:vAlign w:val="top"/>
            <w:tcMar>
              <w:top w:w="85" w:type="dxa"/>
              <w:start w:w="120" w:type="dxa"/>
              <w:bottom w:w="85" w:type="dxa"/>
              <w:end w:w="120" w:type="dxa"/>
            </w:tcMar>
          </w:tcPr>
          <w:p>
            <w:pPr>
              <w:keepLines/>
              <w:spacing w:before="0" w:after="40" w:line="240" w:lineRule="auto"/>
            </w:pPr>
            <w:r>
              <w:rPr>
                <w:rFonts w:ascii="Calibri" w:hAnsi="Calibri"/>
                <w:color w:val="1F2937"/>
                <w:sz w:val="16"/>
              </w:rPr>
              <w:t>0.364</w:t>
            </w:r>
          </w:p>
        </w:tc>
        <w:tc>
          <w:tcPr>
            <w:tcW w:type="dxa" w:w="2960"/>
            <w:vAlign w:val="top"/>
            <w:tcMar>
              <w:top w:w="85" w:type="dxa"/>
              <w:start w:w="120" w:type="dxa"/>
              <w:bottom w:w="85" w:type="dxa"/>
              <w:end w:w="120" w:type="dxa"/>
            </w:tcMar>
          </w:tcPr>
          <w:p>
            <w:pPr>
              <w:keepLines/>
              <w:spacing w:before="0" w:after="40" w:line="240" w:lineRule="auto"/>
            </w:pPr>
            <w:r>
              <w:rPr>
                <w:rFonts w:ascii="Calibri" w:hAnsi="Calibri"/>
                <w:color w:val="1F2937"/>
                <w:sz w:val="16"/>
              </w:rPr>
              <w:t>No detectable linear effect</w:t>
            </w:r>
          </w:p>
        </w:tc>
      </w:tr>
    </w:tbl>
    <w:p>
      <w:pPr>
        <w:spacing w:after="0"/>
      </w:pPr>
    </w:p>
    <w:p>
      <w:pPr>
        <w:keepLines/>
      </w:pPr>
      <w:r>
        <w:t>Sigma is overwhelmingly the largest parametric driver of the separation between v and iii. The positive coefficient means the magnitude of their raw-error difference increases with noise, but it does not identify the winner. Mean sample size is the least influential factor in this model and is the only reported parametric term without statistical support.</w:t>
      </w:r>
    </w:p>
    <w:p>
      <w:pPr>
        <w:pStyle w:val="Heading2"/>
        <w:keepNext/>
      </w:pPr>
      <w:r>
        <w:t>4.2 Metric-specific gap surfaces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950"/>
        <w:gridCol w:w="1000"/>
        <w:gridCol w:w="1350"/>
        <w:gridCol w:w="1450"/>
        <w:gridCol w:w="3560"/>
      </w:tblGrid>
      <w:tr>
        <w:trPr>
          <w:trHeight w:hRule="atLeast"/>
          <w:tblHeader w:val="true"/>
        </w:trPr>
        <w:tc>
          <w:tcPr>
            <w:tcW w:type="dxa" w:w="1050"/>
            <w:shd w:fill="E8EEF5"/>
            <w:vAlign w:val="center"/>
            <w:tcMar>
              <w:top w:w="85" w:type="dxa"/>
              <w:start w:w="120" w:type="dxa"/>
              <w:bottom w:w="85" w:type="dxa"/>
              <w:end w:w="120" w:type="dxa"/>
            </w:tcMar>
          </w:tcPr>
          <w:p>
            <w:pPr>
              <w:keepLines/>
              <w:spacing w:before="0" w:after="0"/>
            </w:pPr>
            <w:r>
              <w:rPr>
                <w:rFonts w:ascii="Calibri" w:hAnsi="Calibri"/>
                <w:b/>
                <w:color w:val="1F4D78"/>
                <w:sz w:val="16"/>
              </w:rPr>
              <w:t>Metric</w:t>
            </w:r>
          </w:p>
        </w:tc>
        <w:tc>
          <w:tcPr>
            <w:tcW w:type="dxa" w:w="950"/>
            <w:shd w:fill="E8EEF5"/>
            <w:vAlign w:val="center"/>
            <w:tcMar>
              <w:top w:w="85" w:type="dxa"/>
              <w:start w:w="120" w:type="dxa"/>
              <w:bottom w:w="85" w:type="dxa"/>
              <w:end w:w="120" w:type="dxa"/>
            </w:tcMar>
          </w:tcPr>
          <w:p>
            <w:pPr>
              <w:keepLines/>
              <w:spacing w:before="0" w:after="0"/>
            </w:pPr>
            <w:r>
              <w:rPr>
                <w:rFonts w:ascii="Calibri" w:hAnsi="Calibri"/>
                <w:b/>
                <w:color w:val="1F4D78"/>
                <w:sz w:val="16"/>
              </w:rPr>
              <w:t>edf</w:t>
            </w:r>
          </w:p>
        </w:tc>
        <w:tc>
          <w:tcPr>
            <w:tcW w:type="dxa" w:w="1000"/>
            <w:shd w:fill="E8EEF5"/>
            <w:vAlign w:val="center"/>
            <w:tcMar>
              <w:top w:w="85" w:type="dxa"/>
              <w:start w:w="120" w:type="dxa"/>
              <w:bottom w:w="85" w:type="dxa"/>
              <w:end w:w="120" w:type="dxa"/>
            </w:tcMar>
          </w:tcPr>
          <w:p>
            <w:pPr>
              <w:keepLines/>
              <w:spacing w:before="0" w:after="0"/>
            </w:pPr>
            <w:r>
              <w:rPr>
                <w:rFonts w:ascii="Calibri" w:hAnsi="Calibri"/>
                <w:b/>
                <w:color w:val="1F4D78"/>
                <w:sz w:val="16"/>
              </w:rPr>
              <w:t>F</w:t>
            </w:r>
          </w:p>
        </w:tc>
        <w:tc>
          <w:tcPr>
            <w:tcW w:type="dxa" w:w="1350"/>
            <w:shd w:fill="E8EEF5"/>
            <w:vAlign w:val="center"/>
            <w:tcMar>
              <w:top w:w="85" w:type="dxa"/>
              <w:start w:w="120" w:type="dxa"/>
              <w:bottom w:w="85" w:type="dxa"/>
              <w:end w:w="120" w:type="dxa"/>
            </w:tcMar>
          </w:tcPr>
          <w:p>
            <w:pPr>
              <w:keepLines/>
              <w:spacing w:before="0" w:after="0"/>
            </w:pPr>
            <w:r>
              <w:rPr>
                <w:rFonts w:ascii="Calibri" w:hAnsi="Calibri"/>
                <w:b/>
                <w:color w:val="1F4D78"/>
                <w:sz w:val="16"/>
              </w:rPr>
              <w:t>k-index</w:t>
            </w:r>
          </w:p>
        </w:tc>
        <w:tc>
          <w:tcPr>
            <w:tcW w:type="dxa" w:w="1450"/>
            <w:shd w:fill="E8EEF5"/>
            <w:vAlign w:val="center"/>
            <w:tcMar>
              <w:top w:w="85" w:type="dxa"/>
              <w:start w:w="120" w:type="dxa"/>
              <w:bottom w:w="85" w:type="dxa"/>
              <w:end w:w="120" w:type="dxa"/>
            </w:tcMar>
          </w:tcPr>
          <w:p>
            <w:pPr>
              <w:keepLines/>
              <w:spacing w:before="0" w:after="0"/>
            </w:pPr>
            <w:r>
              <w:rPr>
                <w:rFonts w:ascii="Calibri" w:hAnsi="Calibri"/>
                <w:b/>
                <w:color w:val="1F4D78"/>
                <w:sz w:val="16"/>
              </w:rPr>
              <w:t>k-check p</w:t>
            </w:r>
          </w:p>
        </w:tc>
        <w:tc>
          <w:tcPr>
            <w:tcW w:type="dxa" w:w="3560"/>
            <w:shd w:fill="E8EEF5"/>
            <w:vAlign w:val="center"/>
            <w:tcMar>
              <w:top w:w="85" w:type="dxa"/>
              <w:start w:w="120" w:type="dxa"/>
              <w:bottom w:w="85" w:type="dxa"/>
              <w:end w:w="120" w:type="dxa"/>
            </w:tcMar>
          </w:tcPr>
          <w:p>
            <w:pPr>
              <w:keepLines/>
              <w:spacing w:before="0" w:after="0"/>
            </w:pPr>
            <w:r>
              <w:rPr>
                <w:rFonts w:ascii="Calibri" w:hAnsi="Calibri"/>
                <w:b/>
                <w:color w:val="1F4D78"/>
                <w:sz w:val="16"/>
              </w:rPr>
              <w:t>Assessment</w:t>
            </w:r>
          </w:p>
        </w:tc>
      </w:tr>
      <w:tr>
        <w:trPr>
          <w:cantSplit/>
        </w:trPr>
        <w:tc>
          <w:tcPr>
            <w:tcW w:type="dxa" w:w="1050"/>
            <w:vAlign w:val="top"/>
            <w:tcMar>
              <w:top w:w="85" w:type="dxa"/>
              <w:start w:w="120" w:type="dxa"/>
              <w:bottom w:w="85" w:type="dxa"/>
              <w:end w:w="120" w:type="dxa"/>
            </w:tcMar>
          </w:tcPr>
          <w:p>
            <w:pPr>
              <w:keepLines/>
              <w:spacing w:before="0" w:after="40" w:line="240" w:lineRule="auto"/>
            </w:pPr>
            <w:r>
              <w:rPr>
                <w:rFonts w:ascii="Calibri" w:hAnsi="Calibri"/>
                <w:b/>
                <w:color w:val="1F2937"/>
                <w:sz w:val="16"/>
              </w:rPr>
              <w:t>L1</w:t>
            </w:r>
          </w:p>
        </w:tc>
        <w:tc>
          <w:tcPr>
            <w:tcW w:type="dxa" w:w="950"/>
            <w:vAlign w:val="top"/>
            <w:tcMar>
              <w:top w:w="85" w:type="dxa"/>
              <w:start w:w="120" w:type="dxa"/>
              <w:bottom w:w="85" w:type="dxa"/>
              <w:end w:w="120" w:type="dxa"/>
            </w:tcMar>
          </w:tcPr>
          <w:p>
            <w:pPr>
              <w:keepLines/>
              <w:spacing w:before="0" w:after="40" w:line="240" w:lineRule="auto"/>
            </w:pPr>
            <w:r>
              <w:rPr>
                <w:rFonts w:ascii="Calibri" w:hAnsi="Calibri"/>
                <w:color w:val="1F2937"/>
                <w:sz w:val="16"/>
              </w:rPr>
              <w:t>20.33</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29.42</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0.98</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0.34</w:t>
            </w:r>
          </w:p>
        </w:tc>
        <w:tc>
          <w:tcPr>
            <w:tcW w:type="dxa" w:w="3560"/>
            <w:vAlign w:val="top"/>
            <w:tcMar>
              <w:top w:w="85" w:type="dxa"/>
              <w:start w:w="120" w:type="dxa"/>
              <w:bottom w:w="85" w:type="dxa"/>
              <w:end w:w="120" w:type="dxa"/>
            </w:tcMar>
          </w:tcPr>
          <w:p>
            <w:pPr>
              <w:keepLines/>
              <w:spacing w:before="0" w:after="40" w:line="240" w:lineRule="auto"/>
            </w:pPr>
            <w:r>
              <w:rPr>
                <w:rFonts w:ascii="Calibri" w:hAnsi="Calibri"/>
                <w:color w:val="1F2937"/>
                <w:sz w:val="16"/>
              </w:rPr>
              <w:t>Largest and most structured gap</w:t>
            </w:r>
          </w:p>
        </w:tc>
      </w:tr>
      <w:tr>
        <w:trPr>
          <w:cantSplit/>
        </w:trPr>
        <w:tc>
          <w:tcPr>
            <w:tcW w:type="dxa" w:w="1050"/>
            <w:vAlign w:val="top"/>
            <w:tcMar>
              <w:top w:w="85" w:type="dxa"/>
              <w:start w:w="120" w:type="dxa"/>
              <w:bottom w:w="85" w:type="dxa"/>
              <w:end w:w="120" w:type="dxa"/>
            </w:tcMar>
          </w:tcPr>
          <w:p>
            <w:pPr>
              <w:keepLines/>
              <w:spacing w:before="0" w:after="40" w:line="240" w:lineRule="auto"/>
            </w:pPr>
            <w:r>
              <w:rPr>
                <w:rFonts w:ascii="Calibri" w:hAnsi="Calibri"/>
                <w:b/>
                <w:color w:val="1F2937"/>
                <w:sz w:val="16"/>
              </w:rPr>
              <w:t>Linf</w:t>
            </w:r>
          </w:p>
        </w:tc>
        <w:tc>
          <w:tcPr>
            <w:tcW w:type="dxa" w:w="950"/>
            <w:vAlign w:val="top"/>
            <w:tcMar>
              <w:top w:w="85" w:type="dxa"/>
              <w:start w:w="120" w:type="dxa"/>
              <w:bottom w:w="85" w:type="dxa"/>
              <w:end w:w="120" w:type="dxa"/>
            </w:tcMar>
          </w:tcPr>
          <w:p>
            <w:pPr>
              <w:keepLines/>
              <w:spacing w:before="0" w:after="40" w:line="240" w:lineRule="auto"/>
            </w:pPr>
            <w:r>
              <w:rPr>
                <w:rFonts w:ascii="Calibri" w:hAnsi="Calibri"/>
                <w:color w:val="1F2937"/>
                <w:sz w:val="16"/>
              </w:rPr>
              <w:t>16.40</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8.24</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0.98</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0.26</w:t>
            </w:r>
          </w:p>
        </w:tc>
        <w:tc>
          <w:tcPr>
            <w:tcW w:type="dxa" w:w="3560"/>
            <w:vAlign w:val="top"/>
            <w:tcMar>
              <w:top w:w="85" w:type="dxa"/>
              <w:start w:w="120" w:type="dxa"/>
              <w:bottom w:w="85" w:type="dxa"/>
              <w:end w:w="120" w:type="dxa"/>
            </w:tcMar>
          </w:tcPr>
          <w:p>
            <w:pPr>
              <w:keepLines/>
              <w:spacing w:before="0" w:after="40" w:line="240" w:lineRule="auto"/>
            </w:pPr>
            <w:r>
              <w:rPr>
                <w:rFonts w:ascii="Calibri" w:hAnsi="Calibri"/>
                <w:color w:val="1F2937"/>
                <w:sz w:val="16"/>
              </w:rPr>
              <w:t>Intermediate gap</w:t>
            </w:r>
          </w:p>
        </w:tc>
      </w:tr>
      <w:tr>
        <w:trPr>
          <w:cantSplit/>
        </w:trPr>
        <w:tc>
          <w:tcPr>
            <w:tcW w:type="dxa" w:w="1050"/>
            <w:vAlign w:val="top"/>
            <w:tcMar>
              <w:top w:w="85" w:type="dxa"/>
              <w:start w:w="120" w:type="dxa"/>
              <w:bottom w:w="85" w:type="dxa"/>
              <w:end w:w="120" w:type="dxa"/>
            </w:tcMar>
          </w:tcPr>
          <w:p>
            <w:pPr>
              <w:keepLines/>
              <w:spacing w:before="0" w:after="40" w:line="240" w:lineRule="auto"/>
            </w:pPr>
            <w:r>
              <w:rPr>
                <w:rFonts w:ascii="Calibri" w:hAnsi="Calibri"/>
                <w:b/>
                <w:color w:val="1F2937"/>
                <w:sz w:val="16"/>
              </w:rPr>
              <w:t>RMSE</w:t>
            </w:r>
          </w:p>
        </w:tc>
        <w:tc>
          <w:tcPr>
            <w:tcW w:type="dxa" w:w="950"/>
            <w:vAlign w:val="top"/>
            <w:tcMar>
              <w:top w:w="85" w:type="dxa"/>
              <w:start w:w="120" w:type="dxa"/>
              <w:bottom w:w="85" w:type="dxa"/>
              <w:end w:w="120" w:type="dxa"/>
            </w:tcMar>
          </w:tcPr>
          <w:p>
            <w:pPr>
              <w:keepLines/>
              <w:spacing w:before="0" w:after="40" w:line="240" w:lineRule="auto"/>
            </w:pPr>
            <w:r>
              <w:rPr>
                <w:rFonts w:ascii="Calibri" w:hAnsi="Calibri"/>
                <w:color w:val="1F2937"/>
                <w:sz w:val="16"/>
              </w:rPr>
              <w:t>14.03</w:t>
            </w:r>
          </w:p>
        </w:tc>
        <w:tc>
          <w:tcPr>
            <w:tcW w:type="dxa" w:w="1000"/>
            <w:vAlign w:val="top"/>
            <w:tcMar>
              <w:top w:w="85" w:type="dxa"/>
              <w:start w:w="120" w:type="dxa"/>
              <w:bottom w:w="85" w:type="dxa"/>
              <w:end w:w="120" w:type="dxa"/>
            </w:tcMar>
          </w:tcPr>
          <w:p>
            <w:pPr>
              <w:keepLines/>
              <w:spacing w:before="0" w:after="40" w:line="240" w:lineRule="auto"/>
            </w:pPr>
            <w:r>
              <w:rPr>
                <w:rFonts w:ascii="Calibri" w:hAnsi="Calibri"/>
                <w:color w:val="1F2937"/>
                <w:sz w:val="16"/>
              </w:rPr>
              <w:t>4.77</w:t>
            </w:r>
          </w:p>
        </w:tc>
        <w:tc>
          <w:tcPr>
            <w:tcW w:type="dxa" w:w="1350"/>
            <w:vAlign w:val="top"/>
            <w:tcMar>
              <w:top w:w="85" w:type="dxa"/>
              <w:start w:w="120" w:type="dxa"/>
              <w:bottom w:w="85" w:type="dxa"/>
              <w:end w:w="120" w:type="dxa"/>
            </w:tcMar>
          </w:tcPr>
          <w:p>
            <w:pPr>
              <w:keepLines/>
              <w:spacing w:before="0" w:after="40" w:line="240" w:lineRule="auto"/>
            </w:pPr>
            <w:r>
              <w:rPr>
                <w:rFonts w:ascii="Calibri" w:hAnsi="Calibri"/>
                <w:color w:val="1F2937"/>
                <w:sz w:val="16"/>
              </w:rPr>
              <w:t>0.98</w:t>
            </w:r>
          </w:p>
        </w:tc>
        <w:tc>
          <w:tcPr>
            <w:tcW w:type="dxa" w:w="1450"/>
            <w:vAlign w:val="top"/>
            <w:tcMar>
              <w:top w:w="85" w:type="dxa"/>
              <w:start w:w="120" w:type="dxa"/>
              <w:bottom w:w="85" w:type="dxa"/>
              <w:end w:w="120" w:type="dxa"/>
            </w:tcMar>
          </w:tcPr>
          <w:p>
            <w:pPr>
              <w:keepLines/>
              <w:spacing w:before="0" w:after="40" w:line="240" w:lineRule="auto"/>
            </w:pPr>
            <w:r>
              <w:rPr>
                <w:rFonts w:ascii="Calibri" w:hAnsi="Calibri"/>
                <w:color w:val="1F2937"/>
                <w:sz w:val="16"/>
              </w:rPr>
              <w:t>0.28</w:t>
            </w:r>
          </w:p>
        </w:tc>
        <w:tc>
          <w:tcPr>
            <w:tcW w:type="dxa" w:w="3560"/>
            <w:vAlign w:val="top"/>
            <w:tcMar>
              <w:top w:w="85" w:type="dxa"/>
              <w:start w:w="120" w:type="dxa"/>
              <w:bottom w:w="85" w:type="dxa"/>
              <w:end w:w="120" w:type="dxa"/>
            </w:tcMar>
          </w:tcPr>
          <w:p>
            <w:pPr>
              <w:keepLines/>
              <w:spacing w:before="0" w:after="40" w:line="240" w:lineRule="auto"/>
            </w:pPr>
            <w:r>
              <w:rPr>
                <w:rFonts w:ascii="Calibri" w:hAnsi="Calibri"/>
                <w:color w:val="1F2937"/>
                <w:sz w:val="16"/>
              </w:rPr>
              <w:t>Smallest, least structured gap</w:t>
            </w:r>
          </w:p>
        </w:tc>
      </w:tr>
    </w:tbl>
    <w:p>
      <w:pPr>
        <w:spacing w:after="0"/>
      </w:pPr>
    </w:p>
    <w:p>
      <w:pPr>
        <w:keepLines/>
      </w:pPr>
      <w:r>
        <w:t>The common morphological feature is a central peak near p1 = 0.3-0.4 and p2 = 0.3-0.4. Approximate conditional contour values at that peak are 0.0185 for L1, 0.0095 for Linf, and 0.0074 for RMSE on the log1p-gap scale; back-transformation changes these only slightly because the gaps are small. The L1 peak is nearly twice the Linf peak, consistent with the structural relation L1 = 2 x Linf for three-part zero-sum compositional errors.</w:t>
      </w:r>
    </w:p>
    <w:p>
      <w:pPr>
        <w:keepNext/>
        <w:spacing w:before="80" w:after="60"/>
        <w:jc w:val="center"/>
      </w:pPr>
      <w:r>
        <w:drawing>
          <wp:inline xmlns:a="http://schemas.openxmlformats.org/drawingml/2006/main" xmlns:pic="http://schemas.openxmlformats.org/drawingml/2006/picture">
            <wp:extent cx="5897880" cy="3930960"/>
            <wp:docPr id="3" name="Picture 3" descr="Three panels showing partial smooth effects for L1, Linf, and RMSE absolute v-versus-iii gaps over the simplex."/>
            <wp:cNvGraphicFramePr>
              <a:graphicFrameLocks noChangeAspect="1"/>
            </wp:cNvGraphicFramePr>
            <a:graphic>
              <a:graphicData uri="http://schemas.openxmlformats.org/drawingml/2006/picture">
                <pic:pic>
                  <pic:nvPicPr>
                    <pic:cNvPr id="0" name="code_E_diff_v_iii_gratia_smooths(3).png"/>
                    <pic:cNvPicPr/>
                  </pic:nvPicPr>
                  <pic:blipFill>
                    <a:blip r:embed="rId13"/>
                    <a:stretch>
                      <a:fillRect/>
                    </a:stretch>
                  </pic:blipFill>
                  <pic:spPr>
                    <a:xfrm>
                      <a:off x="0" y="0"/>
                      <a:ext cx="5897880" cy="3930960"/>
                    </a:xfrm>
                    <a:prstGeom prst="rect"/>
                  </pic:spPr>
                </pic:pic>
              </a:graphicData>
            </a:graphic>
          </wp:inline>
        </w:drawing>
      </w:r>
    </w:p>
    <w:p>
      <w:pPr>
        <w:keepLines/>
        <w:spacing w:after="160"/>
        <w:jc w:val="center"/>
      </w:pPr>
      <w:r>
        <w:rPr>
          <w:rFonts w:ascii="Calibri" w:hAnsi="Calibri"/>
          <w:i/>
          <w:color w:val="5B6573"/>
          <w:sz w:val="17"/>
        </w:rPr>
        <w:t>Figure 3. Metric-specific partial p1-p2 smooths for the magnitude of the v-versus-iii accuracy gap.</w:t>
      </w:r>
    </w:p>
    <w:p>
      <w:r>
        <w:br w:type="page"/>
      </w:r>
    </w:p>
    <w:p>
      <w:pPr>
        <w:pStyle w:val="Heading2"/>
        <w:keepNext/>
      </w:pPr>
      <w:r>
        <w:t>4.3 Conditional gap contours</w:t>
      </w:r>
    </w:p>
    <w:p>
      <w:pPr>
        <w:keepNext/>
        <w:spacing w:before="80" w:after="60"/>
        <w:jc w:val="center"/>
      </w:pPr>
      <w:r>
        <w:drawing>
          <wp:inline xmlns:a="http://schemas.openxmlformats.org/drawingml/2006/main" xmlns:pic="http://schemas.openxmlformats.org/drawingml/2006/picture">
            <wp:extent cx="5897880" cy="3930960"/>
            <wp:docPr id="4" name="Picture 4" descr="Three contour panels showing the conditional magnitude of the v-versus-iii gap for L1, Linf, and RMSE."/>
            <wp:cNvGraphicFramePr>
              <a:graphicFrameLocks noChangeAspect="1"/>
            </wp:cNvGraphicFramePr>
            <a:graphic>
              <a:graphicData uri="http://schemas.openxmlformats.org/drawingml/2006/picture">
                <pic:pic>
                  <pic:nvPicPr>
                    <pic:cNvPr id="0" name="code_E_diff_v_iii_metric_surfaces_panel(4).png"/>
                    <pic:cNvPicPr/>
                  </pic:nvPicPr>
                  <pic:blipFill>
                    <a:blip r:embed="rId14"/>
                    <a:stretch>
                      <a:fillRect/>
                    </a:stretch>
                  </pic:blipFill>
                  <pic:spPr>
                    <a:xfrm>
                      <a:off x="0" y="0"/>
                      <a:ext cx="5897880" cy="3930960"/>
                    </a:xfrm>
                    <a:prstGeom prst="rect"/>
                  </pic:spPr>
                </pic:pic>
              </a:graphicData>
            </a:graphic>
          </wp:inline>
        </w:drawing>
      </w:r>
    </w:p>
    <w:p>
      <w:pPr>
        <w:keepLines/>
        <w:spacing w:after="160"/>
        <w:jc w:val="center"/>
      </w:pPr>
      <w:r>
        <w:rPr>
          <w:rFonts w:ascii="Calibri" w:hAnsi="Calibri"/>
          <w:i/>
          <w:color w:val="5B6573"/>
          <w:sz w:val="17"/>
        </w:rPr>
        <w:t>Figure 4. Conditional fitted log1p absolute-gap surfaces for L1, Linf, and RMSE.</w:t>
      </w:r>
    </w:p>
    <w:p>
      <w:pPr>
        <w:keepLines/>
      </w:pPr>
      <w:r>
        <w:t>The rectangular contour panels again contain predictions outside the valid simplex and should be read only within p1 + p2 &lt;= 1. Within that domain, the greatest separation occurs in the interior and the smallest gaps occur along much of the lower boundary and toward high p1. The high-p1/high-p2 islands lie outside compositional support and have no scientific interpretation.</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5" w:type="dxa"/>
              <w:start w:w="120" w:type="dxa"/>
              <w:bottom w:w="85" w:type="dxa"/>
              <w:end w:w="120" w:type="dxa"/>
            </w:tcMar>
          </w:tcPr>
          <w:p>
            <w:pPr>
              <w:keepLines/>
              <w:spacing w:after="0"/>
            </w:pPr>
            <w:r>
              <w:rPr>
                <w:b/>
                <w:color w:val="1F4D78"/>
              </w:rPr>
              <w:t xml:space="preserve">Direction is not recoverable. </w:t>
            </w:r>
            <w:r>
              <w:t>A large modeled absolute gap can mean v is better or iii is better. For a directional analysis, replace the response with log[(error_v + epsilon)/(error_iii + epsilon)]. Negative fitted values would favor v, positive values would favor iii, and zero contours would directly identify possible crossover regions.</w:t>
            </w:r>
          </w:p>
        </w:tc>
      </w:tr>
    </w:tbl>
    <w:p>
      <w:pPr>
        <w:spacing w:after="0"/>
      </w:pPr>
    </w:p>
    <w:p>
      <w:r>
        <w:br w:type="page"/>
      </w:r>
    </w:p>
    <w:p>
      <w:pPr>
        <w:pStyle w:val="Heading1"/>
        <w:keepNext/>
      </w:pPr>
      <w:r>
        <w:t>5. Model adequacy and diagnostics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00"/>
        <w:gridCol w:w="1500"/>
        <w:gridCol w:w="5960"/>
      </w:tblGrid>
      <w:tr>
        <w:trPr>
          <w:trHeight w:hRule="atLeast"/>
          <w:tblHeader w:val="true"/>
        </w:trPr>
        <w:tc>
          <w:tcPr>
            <w:tcW w:type="dxa" w:w="1900"/>
            <w:shd w:fill="E8EEF5"/>
            <w:vAlign w:val="center"/>
            <w:tcMar>
              <w:top w:w="85" w:type="dxa"/>
              <w:start w:w="120" w:type="dxa"/>
              <w:bottom w:w="85" w:type="dxa"/>
              <w:end w:w="120" w:type="dxa"/>
            </w:tcMar>
          </w:tcPr>
          <w:p>
            <w:pPr>
              <w:keepLines/>
              <w:spacing w:before="0" w:after="0"/>
            </w:pPr>
            <w:r>
              <w:rPr>
                <w:rFonts w:ascii="Calibri" w:hAnsi="Calibri"/>
                <w:b/>
                <w:color w:val="1F4D78"/>
                <w:sz w:val="16"/>
              </w:rPr>
              <w:t>Diagnostic</w:t>
            </w:r>
          </w:p>
        </w:tc>
        <w:tc>
          <w:tcPr>
            <w:tcW w:type="dxa" w:w="1500"/>
            <w:shd w:fill="E8EEF5"/>
            <w:vAlign w:val="center"/>
            <w:tcMar>
              <w:top w:w="85" w:type="dxa"/>
              <w:start w:w="120" w:type="dxa"/>
              <w:bottom w:w="85" w:type="dxa"/>
              <w:end w:w="120" w:type="dxa"/>
            </w:tcMar>
          </w:tcPr>
          <w:p>
            <w:pPr>
              <w:keepLines/>
              <w:spacing w:before="0" w:after="0"/>
            </w:pPr>
            <w:r>
              <w:rPr>
                <w:rFonts w:ascii="Calibri" w:hAnsi="Calibri"/>
                <w:b/>
                <w:color w:val="1F4D78"/>
                <w:sz w:val="16"/>
              </w:rPr>
              <w:t>Judgment</w:t>
            </w:r>
          </w:p>
        </w:tc>
        <w:tc>
          <w:tcPr>
            <w:tcW w:type="dxa" w:w="5960"/>
            <w:shd w:fill="E8EEF5"/>
            <w:vAlign w:val="center"/>
            <w:tcMar>
              <w:top w:w="85" w:type="dxa"/>
              <w:start w:w="120" w:type="dxa"/>
              <w:bottom w:w="85" w:type="dxa"/>
              <w:end w:w="120" w:type="dxa"/>
            </w:tcMar>
          </w:tcPr>
          <w:p>
            <w:pPr>
              <w:keepLines/>
              <w:spacing w:before="0" w:after="0"/>
            </w:pPr>
            <w:r>
              <w:rPr>
                <w:rFonts w:ascii="Calibri" w:hAnsi="Calibri"/>
                <w:b/>
                <w:color w:val="1F4D78"/>
                <w:sz w:val="16"/>
              </w:rPr>
              <w:t>Evidence</w:t>
            </w:r>
          </w:p>
        </w:tc>
      </w:tr>
      <w:tr>
        <w:trPr>
          <w:cantSplit/>
        </w:trPr>
        <w:tc>
          <w:tcPr>
            <w:tcW w:type="dxa" w:w="1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Basis dimension</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6"/>
              </w:rPr>
              <w:t>Supported</w:t>
            </w:r>
          </w:p>
        </w:tc>
        <w:tc>
          <w:tcPr>
            <w:tcW w:type="dxa" w:w="5960"/>
            <w:vAlign w:val="top"/>
            <w:tcMar>
              <w:top w:w="85" w:type="dxa"/>
              <w:start w:w="120" w:type="dxa"/>
              <w:bottom w:w="85" w:type="dxa"/>
              <w:end w:w="120" w:type="dxa"/>
            </w:tcMar>
          </w:tcPr>
          <w:p>
            <w:pPr>
              <w:keepLines/>
              <w:spacing w:before="0" w:after="40" w:line="240" w:lineRule="auto"/>
            </w:pPr>
            <w:r>
              <w:rPr>
                <w:rFonts w:ascii="Calibri" w:hAnsi="Calibri"/>
                <w:color w:val="1F2937"/>
                <w:sz w:val="16"/>
              </w:rPr>
              <w:t>Global k-index 1.02, p = 0.88-0.90; gap k-index 0.98, p = 0.26-0.34</w:t>
            </w:r>
          </w:p>
        </w:tc>
      </w:tr>
      <w:tr>
        <w:trPr>
          <w:cantSplit/>
        </w:trPr>
        <w:tc>
          <w:tcPr>
            <w:tcW w:type="dxa" w:w="1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Smooth saturation</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6"/>
              </w:rPr>
              <w:t>No evidence</w:t>
            </w:r>
          </w:p>
        </w:tc>
        <w:tc>
          <w:tcPr>
            <w:tcW w:type="dxa" w:w="5960"/>
            <w:vAlign w:val="top"/>
            <w:tcMar>
              <w:top w:w="85" w:type="dxa"/>
              <w:start w:w="120" w:type="dxa"/>
              <w:bottom w:w="85" w:type="dxa"/>
              <w:end w:w="120" w:type="dxa"/>
            </w:tcMar>
          </w:tcPr>
          <w:p>
            <w:pPr>
              <w:keepLines/>
              <w:spacing w:before="0" w:after="40" w:line="240" w:lineRule="auto"/>
            </w:pPr>
            <w:r>
              <w:rPr>
                <w:rFonts w:ascii="Calibri" w:hAnsi="Calibri"/>
                <w:color w:val="1F2937"/>
                <w:sz w:val="16"/>
              </w:rPr>
              <w:t>All edf values are well below k-prime = 29</w:t>
            </w:r>
          </w:p>
        </w:tc>
      </w:tr>
      <w:tr>
        <w:trPr>
          <w:cantSplit/>
        </w:trPr>
        <w:tc>
          <w:tcPr>
            <w:tcW w:type="dxa" w:w="1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Optimization</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6"/>
              </w:rPr>
              <w:t>Supported</w:t>
            </w:r>
          </w:p>
        </w:tc>
        <w:tc>
          <w:tcPr>
            <w:tcW w:type="dxa" w:w="5960"/>
            <w:vAlign w:val="top"/>
            <w:tcMar>
              <w:top w:w="85" w:type="dxa"/>
              <w:start w:w="120" w:type="dxa"/>
              <w:bottom w:w="85" w:type="dxa"/>
              <w:end w:w="120" w:type="dxa"/>
            </w:tcMar>
          </w:tcPr>
          <w:p>
            <w:pPr>
              <w:keepLines/>
              <w:spacing w:before="0" w:after="40" w:line="240" w:lineRule="auto"/>
            </w:pPr>
            <w:r>
              <w:rPr>
                <w:rFonts w:ascii="Calibri" w:hAnsi="Calibri"/>
                <w:color w:val="1F2937"/>
                <w:sz w:val="16"/>
              </w:rPr>
              <w:t>Near-zero gradients and full model ranks 167/167 and 97/97</w:t>
            </w:r>
          </w:p>
        </w:tc>
      </w:tr>
      <w:tr>
        <w:trPr>
          <w:cantSplit/>
        </w:trPr>
        <w:tc>
          <w:tcPr>
            <w:tcW w:type="dxa" w:w="1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Global fit</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6"/>
              </w:rPr>
              <w:t>Moderate</w:t>
            </w:r>
          </w:p>
        </w:tc>
        <w:tc>
          <w:tcPr>
            <w:tcW w:type="dxa" w:w="5960"/>
            <w:vAlign w:val="top"/>
            <w:tcMar>
              <w:top w:w="85" w:type="dxa"/>
              <w:start w:w="120" w:type="dxa"/>
              <w:bottom w:w="85" w:type="dxa"/>
              <w:end w:w="120" w:type="dxa"/>
            </w:tcMar>
          </w:tcPr>
          <w:p>
            <w:pPr>
              <w:keepLines/>
              <w:spacing w:before="0" w:after="40" w:line="240" w:lineRule="auto"/>
            </w:pPr>
            <w:r>
              <w:rPr>
                <w:rFonts w:ascii="Calibri" w:hAnsi="Calibri"/>
                <w:color w:val="1F2937"/>
                <w:sz w:val="16"/>
              </w:rPr>
              <w:t>Adjusted R-squared and deviance explained both 38.8%</w:t>
            </w:r>
          </w:p>
        </w:tc>
      </w:tr>
      <w:tr>
        <w:trPr>
          <w:cantSplit/>
        </w:trPr>
        <w:tc>
          <w:tcPr>
            <w:tcW w:type="dxa" w:w="1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Gap fit</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6"/>
              </w:rPr>
              <w:t>Limited</w:t>
            </w:r>
          </w:p>
        </w:tc>
        <w:tc>
          <w:tcPr>
            <w:tcW w:type="dxa" w:w="5960"/>
            <w:vAlign w:val="top"/>
            <w:tcMar>
              <w:top w:w="85" w:type="dxa"/>
              <w:start w:w="120" w:type="dxa"/>
              <w:bottom w:w="85" w:type="dxa"/>
              <w:end w:w="120" w:type="dxa"/>
            </w:tcMar>
          </w:tcPr>
          <w:p>
            <w:pPr>
              <w:keepLines/>
              <w:spacing w:before="0" w:after="40" w:line="240" w:lineRule="auto"/>
            </w:pPr>
            <w:r>
              <w:rPr>
                <w:rFonts w:ascii="Calibri" w:hAnsi="Calibri"/>
                <w:color w:val="1F2937"/>
                <w:sz w:val="16"/>
              </w:rPr>
              <w:t>Adjusted R-squared and deviance explained both 21.4%</w:t>
            </w:r>
          </w:p>
        </w:tc>
      </w:tr>
      <w:tr>
        <w:trPr>
          <w:cantSplit/>
        </w:trPr>
        <w:tc>
          <w:tcPr>
            <w:tcW w:type="dxa" w:w="1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Normality</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6"/>
              </w:rPr>
              <w:t>Violated</w:t>
            </w:r>
          </w:p>
        </w:tc>
        <w:tc>
          <w:tcPr>
            <w:tcW w:type="dxa" w:w="5960"/>
            <w:vAlign w:val="top"/>
            <w:tcMar>
              <w:top w:w="85" w:type="dxa"/>
              <w:start w:w="120" w:type="dxa"/>
              <w:bottom w:w="85" w:type="dxa"/>
              <w:end w:w="120" w:type="dxa"/>
            </w:tcMar>
          </w:tcPr>
          <w:p>
            <w:pPr>
              <w:keepLines/>
              <w:spacing w:before="0" w:after="40" w:line="240" w:lineRule="auto"/>
            </w:pPr>
            <w:r>
              <w:rPr>
                <w:rFonts w:ascii="Calibri" w:hAnsi="Calibri"/>
                <w:color w:val="1F2937"/>
                <w:sz w:val="16"/>
              </w:rPr>
              <w:t>Strong upper-tail departure and right-skewed residual histograms</w:t>
            </w:r>
          </w:p>
        </w:tc>
      </w:tr>
      <w:tr>
        <w:trPr>
          <w:cantSplit/>
        </w:trPr>
        <w:tc>
          <w:tcPr>
            <w:tcW w:type="dxa" w:w="1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Constant variance</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6"/>
              </w:rPr>
              <w:t>Violated</w:t>
            </w:r>
          </w:p>
        </w:tc>
        <w:tc>
          <w:tcPr>
            <w:tcW w:type="dxa" w:w="5960"/>
            <w:vAlign w:val="top"/>
            <w:tcMar>
              <w:top w:w="85" w:type="dxa"/>
              <w:start w:w="120" w:type="dxa"/>
              <w:bottom w:w="85" w:type="dxa"/>
              <w:end w:w="120" w:type="dxa"/>
            </w:tcMar>
          </w:tcPr>
          <w:p>
            <w:pPr>
              <w:keepLines/>
              <w:spacing w:before="0" w:after="40" w:line="240" w:lineRule="auto"/>
            </w:pPr>
            <w:r>
              <w:rPr>
                <w:rFonts w:ascii="Calibri" w:hAnsi="Calibri"/>
                <w:color w:val="1F2937"/>
                <w:sz w:val="16"/>
              </w:rPr>
              <w:t>Triangular/fan-shaped residual patterns and increasing spread</w:t>
            </w:r>
          </w:p>
        </w:tc>
      </w:tr>
      <w:tr>
        <w:trPr>
          <w:cantSplit/>
        </w:trPr>
        <w:tc>
          <w:tcPr>
            <w:tcW w:type="dxa" w:w="1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Outliers</w:t>
            </w:r>
          </w:p>
        </w:tc>
        <w:tc>
          <w:tcPr>
            <w:tcW w:type="dxa" w:w="1500"/>
            <w:vAlign w:val="top"/>
            <w:tcMar>
              <w:top w:w="85" w:type="dxa"/>
              <w:start w:w="120" w:type="dxa"/>
              <w:bottom w:w="85" w:type="dxa"/>
              <w:end w:w="120" w:type="dxa"/>
            </w:tcMar>
          </w:tcPr>
          <w:p>
            <w:pPr>
              <w:keepLines/>
              <w:spacing w:before="0" w:after="40" w:line="240" w:lineRule="auto"/>
            </w:pPr>
            <w:r>
              <w:rPr>
                <w:rFonts w:ascii="Calibri" w:hAnsi="Calibri"/>
                <w:color w:val="1F2937"/>
                <w:sz w:val="16"/>
              </w:rPr>
              <w:t>Material</w:t>
            </w:r>
          </w:p>
        </w:tc>
        <w:tc>
          <w:tcPr>
            <w:tcW w:type="dxa" w:w="5960"/>
            <w:vAlign w:val="top"/>
            <w:tcMar>
              <w:top w:w="85" w:type="dxa"/>
              <w:start w:w="120" w:type="dxa"/>
              <w:bottom w:w="85" w:type="dxa"/>
              <w:end w:w="120" w:type="dxa"/>
            </w:tcMar>
          </w:tcPr>
          <w:p>
            <w:pPr>
              <w:keepLines/>
              <w:spacing w:before="0" w:after="40" w:line="240" w:lineRule="auto"/>
            </w:pPr>
            <w:r>
              <w:rPr>
                <w:rFonts w:ascii="Calibri" w:hAnsi="Calibri"/>
                <w:color w:val="1F2937"/>
                <w:sz w:val="16"/>
              </w:rPr>
              <w:t>Large positive residuals, especially for absolute gaps</w:t>
            </w:r>
          </w:p>
        </w:tc>
      </w:tr>
    </w:tbl>
    <w:p>
      <w:pPr>
        <w:spacing w:after="0"/>
      </w:pPr>
    </w:p>
    <w:p>
      <w:pPr>
        <w:keepLines/>
      </w:pPr>
      <w:r>
        <w:t>The k checks answer only whether the basis has enough dimension to represent the fitted surface. They do not validate the Gaussian likelihood. Both diagnostic suites show a sharp floor near zero, a widening residual envelope, and a heavy positive tail. With n = 500,000, formal p-values are exceptionally sensitive; the residual structure and effect magnitudes are more important than significance alone.</w:t>
      </w:r>
    </w:p>
    <w:p>
      <w:pPr>
        <w:keepNext/>
        <w:spacing w:before="80" w:after="60"/>
        <w:jc w:val="center"/>
      </w:pPr>
      <w:r>
        <w:drawing>
          <wp:inline xmlns:a="http://schemas.openxmlformats.org/drawingml/2006/main" xmlns:pic="http://schemas.openxmlformats.org/drawingml/2006/picture">
            <wp:extent cx="5897880" cy="3930960"/>
            <wp:docPr id="5" name="Picture 5" descr="Four diagnostic panels for the global GAM showing a curved QQ plot, fan-shaped residuals, right-skewed histogram, and diffuse observed-versus-fitted values."/>
            <wp:cNvGraphicFramePr>
              <a:graphicFrameLocks noChangeAspect="1"/>
            </wp:cNvGraphicFramePr>
            <a:graphic>
              <a:graphicData uri="http://schemas.openxmlformats.org/drawingml/2006/picture">
                <pic:pic>
                  <pic:nvPicPr>
                    <pic:cNvPr id="0" name="code_E_global_gratia_appraise(2).png"/>
                    <pic:cNvPicPr/>
                  </pic:nvPicPr>
                  <pic:blipFill>
                    <a:blip r:embed="rId15"/>
                    <a:stretch>
                      <a:fillRect/>
                    </a:stretch>
                  </pic:blipFill>
                  <pic:spPr>
                    <a:xfrm>
                      <a:off x="0" y="0"/>
                      <a:ext cx="5897880" cy="3930960"/>
                    </a:xfrm>
                    <a:prstGeom prst="rect"/>
                  </pic:spPr>
                </pic:pic>
              </a:graphicData>
            </a:graphic>
          </wp:inline>
        </w:drawing>
      </w:r>
    </w:p>
    <w:p>
      <w:pPr>
        <w:keepLines/>
        <w:spacing w:after="160"/>
        <w:jc w:val="center"/>
      </w:pPr>
      <w:r>
        <w:rPr>
          <w:rFonts w:ascii="Calibri" w:hAnsi="Calibri"/>
          <w:i/>
          <w:color w:val="5B6573"/>
          <w:sz w:val="17"/>
        </w:rPr>
        <w:t>Figure 5. Global-model diagnostic suite from gratia::appraise.</w:t>
      </w:r>
    </w:p>
    <w:p>
      <w:r>
        <w:br w:type="page"/>
      </w:r>
    </w:p>
    <w:p>
      <w:pPr>
        <w:pStyle w:val="Heading2"/>
        <w:keepNext/>
      </w:pPr>
      <w:r>
        <w:t>5.1 Absolute-gap diagnostics</w:t>
      </w:r>
    </w:p>
    <w:p>
      <w:pPr>
        <w:keepLines/>
      </w:pPr>
      <w:r>
        <w:t>The gap model has a particularly severe zero-boundary problem. Most observations are tightly concentrated near zero, while a small fraction extend above 0.30. A Gaussian identity-link model cannot accommodate this mixture of near-zero mass and extreme positive values without strong heteroscedasticity. The moderate 21.4% deviance explained also indicates that the reported smooth and linear effects leave substantial variation unresolved.</w:t>
      </w:r>
    </w:p>
    <w:p>
      <w:pPr>
        <w:keepNext/>
        <w:spacing w:before="80" w:after="60"/>
        <w:jc w:val="center"/>
      </w:pPr>
      <w:r>
        <w:drawing>
          <wp:inline xmlns:a="http://schemas.openxmlformats.org/drawingml/2006/main" xmlns:pic="http://schemas.openxmlformats.org/drawingml/2006/picture">
            <wp:extent cx="5897880" cy="3930960"/>
            <wp:docPr id="6" name="Picture 6" descr="Four diagnostic panels for the absolute-gap GAM showing a concentrated near-zero distribution, heavy positive tail, and pronounced heteroscedasticity."/>
            <wp:cNvGraphicFramePr>
              <a:graphicFrameLocks noChangeAspect="1"/>
            </wp:cNvGraphicFramePr>
            <a:graphic>
              <a:graphicData uri="http://schemas.openxmlformats.org/drawingml/2006/picture">
                <pic:pic>
                  <pic:nvPicPr>
                    <pic:cNvPr id="0" name="code_E_diff_v_iii_gratia_appraise(1).png"/>
                    <pic:cNvPicPr/>
                  </pic:nvPicPr>
                  <pic:blipFill>
                    <a:blip r:embed="rId16"/>
                    <a:stretch>
                      <a:fillRect/>
                    </a:stretch>
                  </pic:blipFill>
                  <pic:spPr>
                    <a:xfrm>
                      <a:off x="0" y="0"/>
                      <a:ext cx="5897880" cy="3930960"/>
                    </a:xfrm>
                    <a:prstGeom prst="rect"/>
                  </pic:spPr>
                </pic:pic>
              </a:graphicData>
            </a:graphic>
          </wp:inline>
        </w:drawing>
      </w:r>
    </w:p>
    <w:p>
      <w:pPr>
        <w:keepLines/>
        <w:spacing w:after="160"/>
        <w:jc w:val="center"/>
      </w:pPr>
      <w:r>
        <w:rPr>
          <w:rFonts w:ascii="Calibri" w:hAnsi="Calibri"/>
          <w:i/>
          <w:color w:val="5B6573"/>
          <w:sz w:val="17"/>
        </w:rPr>
        <w:t>Figure 6. Diagnostic suite for the v-versus-iii absolute-gap GAM.</w:t>
      </w:r>
    </w:p>
    <w:p>
      <w:r>
        <w:br w:type="page"/>
      </w:r>
    </w:p>
    <w:p>
      <w:pPr>
        <w:pStyle w:val="Heading1"/>
        <w:keepNext/>
      </w:pPr>
      <w:r>
        <w:t>6. Proportion-specific and metric diagnostics</w:t>
      </w:r>
    </w:p>
    <w:p>
      <w:pPr>
        <w:pStyle w:val="Heading2"/>
        <w:keepNext/>
      </w:pPr>
      <w:r>
        <w:t>6.1 Simplex geometry</w:t>
      </w:r>
    </w:p>
    <w:p>
      <w:pPr>
        <w:keepLines/>
      </w:pPr>
      <w:r>
        <w:t>The coordinates are compositional: p3 = 1 - p1 - p2 and the support is triangular. A Euclidean thin-plate spline in p1 and p2 is usable as a descriptive surface inside the observed triangle, but its geometry is not invariant to the choice of omitted component and it extrapolates poorly near or outside boundaries. Prediction grids should explicitly exclude p1 + p2 &gt;= 1 and cells unsupported by data.</w:t>
      </w:r>
    </w:p>
    <w:p>
      <w:pPr>
        <w:keepLines/>
      </w:pPr>
      <w:r>
        <w:t>For component-level modeling, componentwise arcsine or logit transformations do not respect closure and can create incompatible fitted proportions. Isometric log-ratio coordinates provide a more coherent unconstrained representation of the simplex. For the nonnegative error distances themselves, a log transform with a documented offset, Gamma/log GAM, Tweedie GAM, or two-part model is more directly relevant than arcsine transformation.</w:t>
      </w:r>
    </w:p>
    <w:p>
      <w:pPr>
        <w:pStyle w:val="Heading2"/>
        <w:keepNext/>
      </w:pPr>
      <w:r>
        <w:t>6.2 Dependence among accuracy metrics</w:t>
      </w:r>
    </w:p>
    <w:p>
      <w:pPr>
        <w:keepLines/>
      </w:pPr>
      <w:r>
        <w:t>For differences between three-part compositions, component errors sum to zero and the largest absolute component equals half the total absolute error; hence L1 = 2 x Linf. L1 and Linf are therefore deterministically redundant before nonlinear transformation. Their separate highly significant tests should not be interpreted as independent replication. A joint or stacked model should explicitly account for within-example metric dependence.</w:t>
      </w:r>
    </w:p>
    <w:p>
      <w:pPr>
        <w:pStyle w:val="Heading2"/>
        <w:keepNext/>
      </w:pPr>
      <w:r>
        <w:t>6.3 Boundary and variance behavior</w:t>
      </w:r>
    </w:p>
    <w:p>
      <w:pPr>
        <w:keepLines/>
      </w:pPr>
      <w:r>
        <w:t>Near simplex boundaries, some components approach zero and estimation errors become asymmetric and variance-dependent. The observed fan shapes are consistent with a response whose attainable spread increases with its mean and with occasional difficult simulation cells. Diagnostics should therefore be stratified by method, metric, design block, and distance to the simplex boundary, rather than assessed only in a pooled plot.</w:t>
      </w:r>
    </w:p>
    <w:p>
      <w:pPr>
        <w:pStyle w:val="Heading1"/>
        <w:keepNext/>
      </w:pPr>
      <w:r>
        <w:t>7. Comparative performance and robustness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00"/>
        <w:gridCol w:w="2300"/>
        <w:gridCol w:w="2600"/>
        <w:gridCol w:w="3560"/>
      </w:tblGrid>
      <w:tr>
        <w:trPr>
          <w:trHeight w:hRule="atLeast"/>
          <w:tblHeader w:val="true"/>
        </w:trPr>
        <w:tc>
          <w:tcPr>
            <w:tcW w:type="dxa" w:w="900"/>
            <w:shd w:fill="E8EEF5"/>
            <w:vAlign w:val="center"/>
            <w:tcMar>
              <w:top w:w="85" w:type="dxa"/>
              <w:start w:w="120" w:type="dxa"/>
              <w:bottom w:w="85" w:type="dxa"/>
              <w:end w:w="120" w:type="dxa"/>
            </w:tcMar>
          </w:tcPr>
          <w:p>
            <w:pPr>
              <w:keepLines/>
              <w:spacing w:before="0" w:after="0"/>
            </w:pPr>
            <w:r>
              <w:rPr>
                <w:rFonts w:ascii="Calibri" w:hAnsi="Calibri"/>
                <w:b/>
                <w:color w:val="1F4D78"/>
                <w:sz w:val="16"/>
              </w:rPr>
              <w:t>Method</w:t>
            </w:r>
          </w:p>
        </w:tc>
        <w:tc>
          <w:tcPr>
            <w:tcW w:type="dxa" w:w="2300"/>
            <w:shd w:fill="E8EEF5"/>
            <w:vAlign w:val="center"/>
            <w:tcMar>
              <w:top w:w="85" w:type="dxa"/>
              <w:start w:w="120" w:type="dxa"/>
              <w:bottom w:w="85" w:type="dxa"/>
              <w:end w:w="120" w:type="dxa"/>
            </w:tcMar>
          </w:tcPr>
          <w:p>
            <w:pPr>
              <w:keepLines/>
              <w:spacing w:before="0" w:after="0"/>
            </w:pPr>
            <w:r>
              <w:rPr>
                <w:rFonts w:ascii="Calibri" w:hAnsi="Calibri"/>
                <w:b/>
                <w:color w:val="1F4D78"/>
                <w:sz w:val="16"/>
              </w:rPr>
              <w:t>Conditional performance</w:t>
            </w:r>
          </w:p>
        </w:tc>
        <w:tc>
          <w:tcPr>
            <w:tcW w:type="dxa" w:w="2600"/>
            <w:shd w:fill="E8EEF5"/>
            <w:vAlign w:val="center"/>
            <w:tcMar>
              <w:top w:w="85" w:type="dxa"/>
              <w:start w:w="120" w:type="dxa"/>
              <w:bottom w:w="85" w:type="dxa"/>
              <w:end w:w="120" w:type="dxa"/>
            </w:tcMar>
          </w:tcPr>
          <w:p>
            <w:pPr>
              <w:keepLines/>
              <w:spacing w:before="0" w:after="0"/>
            </w:pPr>
            <w:r>
              <w:rPr>
                <w:rFonts w:ascii="Calibri" w:hAnsi="Calibri"/>
                <w:b/>
                <w:color w:val="1F4D78"/>
                <w:sz w:val="16"/>
              </w:rPr>
              <w:t>Surface behavior</w:t>
            </w:r>
          </w:p>
        </w:tc>
        <w:tc>
          <w:tcPr>
            <w:tcW w:type="dxa" w:w="3560"/>
            <w:shd w:fill="E8EEF5"/>
            <w:vAlign w:val="center"/>
            <w:tcMar>
              <w:top w:w="85" w:type="dxa"/>
              <w:start w:w="120" w:type="dxa"/>
              <w:bottom w:w="85" w:type="dxa"/>
              <w:end w:w="120" w:type="dxa"/>
            </w:tcMar>
          </w:tcPr>
          <w:p>
            <w:pPr>
              <w:keepLines/>
              <w:spacing w:before="0" w:after="0"/>
            </w:pPr>
            <w:r>
              <w:rPr>
                <w:rFonts w:ascii="Calibri" w:hAnsi="Calibri"/>
                <w:b/>
                <w:color w:val="1F4D78"/>
                <w:sz w:val="16"/>
              </w:rPr>
              <w:t>Robustness interpretation</w:t>
            </w:r>
          </w:p>
        </w:tc>
      </w:tr>
      <w:tr>
        <w:trPr>
          <w:cantSplit/>
        </w:trPr>
        <w:tc>
          <w:tcPr>
            <w:tcW w:type="dxa" w:w="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i</w:t>
            </w:r>
          </w:p>
        </w:tc>
        <w:tc>
          <w:tcPr>
            <w:tcW w:type="dxa" w:w="2300"/>
            <w:vAlign w:val="top"/>
            <w:tcMar>
              <w:top w:w="85" w:type="dxa"/>
              <w:start w:w="120" w:type="dxa"/>
              <w:bottom w:w="85" w:type="dxa"/>
              <w:end w:w="120" w:type="dxa"/>
            </w:tcMar>
          </w:tcPr>
          <w:p>
            <w:pPr>
              <w:keepLines/>
              <w:spacing w:before="0" w:after="40" w:line="240" w:lineRule="auto"/>
            </w:pPr>
            <w:r>
              <w:rPr>
                <w:rFonts w:ascii="Calibri" w:hAnsi="Calibri"/>
                <w:color w:val="1F2937"/>
                <w:sz w:val="16"/>
              </w:rPr>
              <w:t>Intermediate</w:t>
            </w:r>
          </w:p>
        </w:tc>
        <w:tc>
          <w:tcPr>
            <w:tcW w:type="dxa" w:w="2600"/>
            <w:vAlign w:val="top"/>
            <w:tcMar>
              <w:top w:w="85" w:type="dxa"/>
              <w:start w:w="120" w:type="dxa"/>
              <w:bottom w:w="85" w:type="dxa"/>
              <w:end w:w="120" w:type="dxa"/>
            </w:tcMar>
          </w:tcPr>
          <w:p>
            <w:pPr>
              <w:keepLines/>
              <w:spacing w:before="0" w:after="40" w:line="240" w:lineRule="auto"/>
            </w:pPr>
            <w:r>
              <w:rPr>
                <w:rFonts w:ascii="Calibri" w:hAnsi="Calibri"/>
                <w:color w:val="1F2937"/>
                <w:sz w:val="16"/>
              </w:rPr>
              <w:t>Irregular, relatively strong p1-p2 dependence</w:t>
            </w:r>
          </w:p>
        </w:tc>
        <w:tc>
          <w:tcPr>
            <w:tcW w:type="dxa" w:w="3560"/>
            <w:vAlign w:val="top"/>
            <w:tcMar>
              <w:top w:w="85" w:type="dxa"/>
              <w:start w:w="120" w:type="dxa"/>
              <w:bottom w:w="85" w:type="dxa"/>
              <w:end w:w="120" w:type="dxa"/>
            </w:tcMar>
          </w:tcPr>
          <w:p>
            <w:pPr>
              <w:keepLines/>
              <w:spacing w:before="0" w:after="40" w:line="240" w:lineRule="auto"/>
            </w:pPr>
            <w:r>
              <w:rPr>
                <w:rFonts w:ascii="Calibri" w:hAnsi="Calibri"/>
                <w:color w:val="1F2937"/>
                <w:sz w:val="16"/>
              </w:rPr>
              <w:t>Not preferred when iii-iv-v are available</w:t>
            </w:r>
          </w:p>
        </w:tc>
      </w:tr>
      <w:tr>
        <w:trPr>
          <w:cantSplit/>
        </w:trPr>
        <w:tc>
          <w:tcPr>
            <w:tcW w:type="dxa" w:w="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ii</w:t>
            </w:r>
          </w:p>
        </w:tc>
        <w:tc>
          <w:tcPr>
            <w:tcW w:type="dxa" w:w="2300"/>
            <w:vAlign w:val="top"/>
            <w:tcMar>
              <w:top w:w="85" w:type="dxa"/>
              <w:start w:w="120" w:type="dxa"/>
              <w:bottom w:w="85" w:type="dxa"/>
              <w:end w:w="120" w:type="dxa"/>
            </w:tcMar>
          </w:tcPr>
          <w:p>
            <w:pPr>
              <w:keepLines/>
              <w:spacing w:before="0" w:after="40" w:line="240" w:lineRule="auto"/>
            </w:pPr>
            <w:r>
              <w:rPr>
                <w:rFonts w:ascii="Calibri" w:hAnsi="Calibri"/>
                <w:color w:val="1F2937"/>
                <w:sz w:val="16"/>
              </w:rPr>
              <w:t>Highest error for every metric</w:t>
            </w:r>
          </w:p>
        </w:tc>
        <w:tc>
          <w:tcPr>
            <w:tcW w:type="dxa" w:w="2600"/>
            <w:vAlign w:val="top"/>
            <w:tcMar>
              <w:top w:w="85" w:type="dxa"/>
              <w:start w:w="120" w:type="dxa"/>
              <w:bottom w:w="85" w:type="dxa"/>
              <w:end w:w="120" w:type="dxa"/>
            </w:tcMar>
          </w:tcPr>
          <w:p>
            <w:pPr>
              <w:keepLines/>
              <w:spacing w:before="0" w:after="40" w:line="240" w:lineRule="auto"/>
            </w:pPr>
            <w:r>
              <w:rPr>
                <w:rFonts w:ascii="Calibri" w:hAnsi="Calibri"/>
                <w:color w:val="1F2937"/>
                <w:sz w:val="16"/>
              </w:rPr>
              <w:t>Flattest smooth but elevated surface</w:t>
            </w:r>
          </w:p>
        </w:tc>
        <w:tc>
          <w:tcPr>
            <w:tcW w:type="dxa" w:w="3560"/>
            <w:vAlign w:val="top"/>
            <w:tcMar>
              <w:top w:w="85" w:type="dxa"/>
              <w:start w:w="120" w:type="dxa"/>
              <w:bottom w:w="85" w:type="dxa"/>
              <w:end w:w="120" w:type="dxa"/>
            </w:tcMar>
          </w:tcPr>
          <w:p>
            <w:pPr>
              <w:keepLines/>
              <w:spacing w:before="0" w:after="40" w:line="240" w:lineRule="auto"/>
            </w:pPr>
            <w:r>
              <w:rPr>
                <w:rFonts w:ascii="Calibri" w:hAnsi="Calibri"/>
                <w:color w:val="1F2937"/>
                <w:sz w:val="16"/>
              </w:rPr>
              <w:t>Stable at an unfavorable error level</w:t>
            </w:r>
          </w:p>
        </w:tc>
      </w:tr>
      <w:tr>
        <w:trPr>
          <w:cantSplit/>
        </w:trPr>
        <w:tc>
          <w:tcPr>
            <w:tcW w:type="dxa" w:w="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iii</w:t>
            </w:r>
          </w:p>
        </w:tc>
        <w:tc>
          <w:tcPr>
            <w:tcW w:type="dxa" w:w="2300"/>
            <w:vAlign w:val="top"/>
            <w:tcMar>
              <w:top w:w="85" w:type="dxa"/>
              <w:start w:w="120" w:type="dxa"/>
              <w:bottom w:w="85" w:type="dxa"/>
              <w:end w:w="120" w:type="dxa"/>
            </w:tcMar>
          </w:tcPr>
          <w:p>
            <w:pPr>
              <w:keepLines/>
              <w:spacing w:before="0" w:after="40" w:line="240" w:lineRule="auto"/>
            </w:pPr>
            <w:r>
              <w:rPr>
                <w:rFonts w:ascii="Calibri" w:hAnsi="Calibri"/>
                <w:color w:val="1F2937"/>
                <w:sz w:val="16"/>
              </w:rPr>
              <w:t>Best conditional L1</w:t>
            </w:r>
          </w:p>
        </w:tc>
        <w:tc>
          <w:tcPr>
            <w:tcW w:type="dxa" w:w="2600"/>
            <w:vAlign w:val="top"/>
            <w:tcMar>
              <w:top w:w="85" w:type="dxa"/>
              <w:start w:w="120" w:type="dxa"/>
              <w:bottom w:w="85" w:type="dxa"/>
              <w:end w:w="120" w:type="dxa"/>
            </w:tcMar>
          </w:tcPr>
          <w:p>
            <w:pPr>
              <w:keepLines/>
              <w:spacing w:before="0" w:after="40" w:line="240" w:lineRule="auto"/>
            </w:pPr>
            <w:r>
              <w:rPr>
                <w:rFonts w:ascii="Calibri" w:hAnsi="Calibri"/>
                <w:color w:val="1F2937"/>
                <w:sz w:val="16"/>
              </w:rPr>
              <w:t>Strongest simplex-location sensitivity</w:t>
            </w:r>
          </w:p>
        </w:tc>
        <w:tc>
          <w:tcPr>
            <w:tcW w:type="dxa" w:w="3560"/>
            <w:vAlign w:val="top"/>
            <w:tcMar>
              <w:top w:w="85" w:type="dxa"/>
              <w:start w:w="120" w:type="dxa"/>
              <w:bottom w:w="85" w:type="dxa"/>
              <w:end w:w="120" w:type="dxa"/>
            </w:tcMar>
          </w:tcPr>
          <w:p>
            <w:pPr>
              <w:keepLines/>
              <w:spacing w:before="0" w:after="40" w:line="240" w:lineRule="auto"/>
            </w:pPr>
            <w:r>
              <w:rPr>
                <w:rFonts w:ascii="Calibri" w:hAnsi="Calibri"/>
                <w:color w:val="1F2937"/>
                <w:sz w:val="16"/>
              </w:rPr>
              <w:t>Specialized L1 leader; check boundary robustness</w:t>
            </w:r>
          </w:p>
        </w:tc>
      </w:tr>
      <w:tr>
        <w:trPr>
          <w:cantSplit/>
        </w:trPr>
        <w:tc>
          <w:tcPr>
            <w:tcW w:type="dxa" w:w="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iv</w:t>
            </w:r>
          </w:p>
        </w:tc>
        <w:tc>
          <w:tcPr>
            <w:tcW w:type="dxa" w:w="2300"/>
            <w:vAlign w:val="top"/>
            <w:tcMar>
              <w:top w:w="85" w:type="dxa"/>
              <w:start w:w="120" w:type="dxa"/>
              <w:bottom w:w="85" w:type="dxa"/>
              <w:end w:w="120" w:type="dxa"/>
            </w:tcMar>
          </w:tcPr>
          <w:p>
            <w:pPr>
              <w:keepLines/>
              <w:spacing w:before="0" w:after="40" w:line="240" w:lineRule="auto"/>
            </w:pPr>
            <w:r>
              <w:rPr>
                <w:rFonts w:ascii="Calibri" w:hAnsi="Calibri"/>
                <w:color w:val="1F2937"/>
                <w:sz w:val="16"/>
              </w:rPr>
              <w:t>Best conditional Linf and RMSE</w:t>
            </w:r>
          </w:p>
        </w:tc>
        <w:tc>
          <w:tcPr>
            <w:tcW w:type="dxa" w:w="2600"/>
            <w:vAlign w:val="top"/>
            <w:tcMar>
              <w:top w:w="85" w:type="dxa"/>
              <w:start w:w="120" w:type="dxa"/>
              <w:bottom w:w="85" w:type="dxa"/>
              <w:end w:w="120" w:type="dxa"/>
            </w:tcMar>
          </w:tcPr>
          <w:p>
            <w:pPr>
              <w:keepLines/>
              <w:spacing w:before="0" w:after="40" w:line="240" w:lineRule="auto"/>
            </w:pPr>
            <w:r>
              <w:rPr>
                <w:rFonts w:ascii="Calibri" w:hAnsi="Calibri"/>
                <w:color w:val="1F2937"/>
                <w:sz w:val="16"/>
              </w:rPr>
              <w:t>Moderate surface sensitivity</w:t>
            </w:r>
          </w:p>
        </w:tc>
        <w:tc>
          <w:tcPr>
            <w:tcW w:type="dxa" w:w="3560"/>
            <w:vAlign w:val="top"/>
            <w:tcMar>
              <w:top w:w="85" w:type="dxa"/>
              <w:start w:w="120" w:type="dxa"/>
              <w:bottom w:w="85" w:type="dxa"/>
              <w:end w:w="120" w:type="dxa"/>
            </w:tcMar>
          </w:tcPr>
          <w:p>
            <w:pPr>
              <w:keepLines/>
              <w:spacing w:before="0" w:after="40" w:line="240" w:lineRule="auto"/>
            </w:pPr>
            <w:r>
              <w:rPr>
                <w:rFonts w:ascii="Calibri" w:hAnsi="Calibri"/>
                <w:color w:val="1F2937"/>
                <w:sz w:val="16"/>
              </w:rPr>
              <w:t>Strong cross-metric candidate</w:t>
            </w:r>
          </w:p>
        </w:tc>
      </w:tr>
      <w:tr>
        <w:trPr>
          <w:cantSplit/>
        </w:trPr>
        <w:tc>
          <w:tcPr>
            <w:tcW w:type="dxa" w:w="900"/>
            <w:vAlign w:val="top"/>
            <w:tcMar>
              <w:top w:w="85" w:type="dxa"/>
              <w:start w:w="120" w:type="dxa"/>
              <w:bottom w:w="85" w:type="dxa"/>
              <w:end w:w="120" w:type="dxa"/>
            </w:tcMar>
          </w:tcPr>
          <w:p>
            <w:pPr>
              <w:keepLines/>
              <w:spacing w:before="0" w:after="40" w:line="240" w:lineRule="auto"/>
            </w:pPr>
            <w:r>
              <w:rPr>
                <w:rFonts w:ascii="Calibri" w:hAnsi="Calibri"/>
                <w:b/>
                <w:color w:val="1F2937"/>
                <w:sz w:val="16"/>
              </w:rPr>
              <w:t>v</w:t>
            </w:r>
          </w:p>
        </w:tc>
        <w:tc>
          <w:tcPr>
            <w:tcW w:type="dxa" w:w="2300"/>
            <w:vAlign w:val="top"/>
            <w:tcMar>
              <w:top w:w="85" w:type="dxa"/>
              <w:start w:w="120" w:type="dxa"/>
              <w:bottom w:w="85" w:type="dxa"/>
              <w:end w:w="120" w:type="dxa"/>
            </w:tcMar>
          </w:tcPr>
          <w:p>
            <w:pPr>
              <w:keepLines/>
              <w:spacing w:before="0" w:after="40" w:line="240" w:lineRule="auto"/>
            </w:pPr>
            <w:r>
              <w:rPr>
                <w:rFonts w:ascii="Calibri" w:hAnsi="Calibri"/>
                <w:color w:val="1F2937"/>
                <w:sz w:val="16"/>
              </w:rPr>
              <w:t>Very close to iii and iv</w:t>
            </w:r>
          </w:p>
        </w:tc>
        <w:tc>
          <w:tcPr>
            <w:tcW w:type="dxa" w:w="2600"/>
            <w:vAlign w:val="top"/>
            <w:tcMar>
              <w:top w:w="85" w:type="dxa"/>
              <w:start w:w="120" w:type="dxa"/>
              <w:bottom w:w="85" w:type="dxa"/>
              <w:end w:w="120" w:type="dxa"/>
            </w:tcMar>
          </w:tcPr>
          <w:p>
            <w:pPr>
              <w:keepLines/>
              <w:spacing w:before="0" w:after="40" w:line="240" w:lineRule="auto"/>
            </w:pPr>
            <w:r>
              <w:rPr>
                <w:rFonts w:ascii="Calibri" w:hAnsi="Calibri"/>
                <w:color w:val="1F2937"/>
                <w:sz w:val="16"/>
              </w:rPr>
              <w:t>Moderate surface sensitivity</w:t>
            </w:r>
          </w:p>
        </w:tc>
        <w:tc>
          <w:tcPr>
            <w:tcW w:type="dxa" w:w="3560"/>
            <w:vAlign w:val="top"/>
            <w:tcMar>
              <w:top w:w="85" w:type="dxa"/>
              <w:start w:w="120" w:type="dxa"/>
              <w:bottom w:w="85" w:type="dxa"/>
              <w:end w:w="120" w:type="dxa"/>
            </w:tcMar>
          </w:tcPr>
          <w:p>
            <w:pPr>
              <w:keepLines/>
              <w:spacing w:before="0" w:after="40" w:line="240" w:lineRule="auto"/>
            </w:pPr>
            <w:r>
              <w:rPr>
                <w:rFonts w:ascii="Calibri" w:hAnsi="Calibri"/>
                <w:color w:val="1F2937"/>
                <w:sz w:val="16"/>
              </w:rPr>
              <w:t>Strong general candidate; direction vs iii unresolved</w:t>
            </w:r>
          </w:p>
        </w:tc>
      </w:tr>
    </w:tbl>
    <w:p>
      <w:pPr>
        <w:spacing w:after="0"/>
      </w:pPr>
    </w:p>
    <w:p>
      <w:pPr>
        <w:keepLines/>
      </w:pPr>
      <w:r>
        <w:t>Code E does not support a universal winner. It supports a leading class consisting of iii, iv, and v and consistently excludes ii as a default. Method iv has the strongest conditional cross-metric profile in this model because it leads for RMSE and Linf and remains close for L1. Method iii is the conditional L1 leader but is most sensitive to p1-p2 location. Method v is consistently close to the leaders, but the unsigned comparison model cannot establish whether it is locally better or worse than iii.</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5" w:type="dxa"/>
              <w:start w:w="120" w:type="dxa"/>
              <w:bottom w:w="85" w:type="dxa"/>
              <w:end w:w="120" w:type="dxa"/>
            </w:tcMar>
          </w:tcPr>
          <w:p>
            <w:pPr>
              <w:keepLines/>
              <w:spacing w:after="0"/>
            </w:pPr>
            <w:r>
              <w:rPr>
                <w:b/>
                <w:color w:val="1F4D78"/>
              </w:rPr>
              <w:t xml:space="preserve">Practical recommendation. </w:t>
            </w:r>
            <w:r>
              <w:t>Treat iii, iv, and v as the candidate set, with iv as the provisional cross-metric choice from Code E alone. Do not declare a final winner until signed log-ratio surfaces and simplex-valid marginal contrasts are computed. Method ii should not be recommended for general use, and method i offers no evident advantage over the leading cluster.</w:t>
            </w:r>
          </w:p>
        </w:tc>
      </w:tr>
    </w:tbl>
    <w:p>
      <w:pPr>
        <w:spacing w:after="0"/>
      </w:pPr>
    </w:p>
    <w:p>
      <w:pPr>
        <w:pStyle w:val="Heading2"/>
        <w:keepNext/>
      </w:pPr>
      <w:r>
        <w:t>7.1 Recommended revised analysis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50"/>
        <w:gridCol w:w="7110"/>
      </w:tblGrid>
      <w:tr>
        <w:trPr>
          <w:trHeight w:hRule="atLeast"/>
          <w:tblHeader w:val="true"/>
        </w:trPr>
        <w:tc>
          <w:tcPr>
            <w:tcW w:type="dxa" w:w="2250"/>
            <w:shd w:fill="E8EEF5"/>
            <w:vAlign w:val="center"/>
            <w:tcMar>
              <w:top w:w="85" w:type="dxa"/>
              <w:start w:w="120" w:type="dxa"/>
              <w:bottom w:w="85" w:type="dxa"/>
              <w:end w:w="120" w:type="dxa"/>
            </w:tcMar>
          </w:tcPr>
          <w:p>
            <w:pPr>
              <w:keepLines/>
              <w:spacing w:before="0" w:after="0"/>
            </w:pPr>
            <w:r>
              <w:rPr>
                <w:rFonts w:ascii="Calibri" w:hAnsi="Calibri"/>
                <w:b/>
                <w:color w:val="1F4D78"/>
                <w:sz w:val="17"/>
              </w:rPr>
              <w:t>Objective</w:t>
            </w:r>
          </w:p>
        </w:tc>
        <w:tc>
          <w:tcPr>
            <w:tcW w:type="dxa" w:w="7110"/>
            <w:shd w:fill="E8EEF5"/>
            <w:vAlign w:val="center"/>
            <w:tcMar>
              <w:top w:w="85" w:type="dxa"/>
              <w:start w:w="120" w:type="dxa"/>
              <w:bottom w:w="85" w:type="dxa"/>
              <w:end w:w="120" w:type="dxa"/>
            </w:tcMar>
          </w:tcPr>
          <w:p>
            <w:pPr>
              <w:keepLines/>
              <w:spacing w:before="0" w:after="0"/>
            </w:pPr>
            <w:r>
              <w:rPr>
                <w:rFonts w:ascii="Calibri" w:hAnsi="Calibri"/>
                <w:b/>
                <w:color w:val="1F4D78"/>
                <w:sz w:val="17"/>
              </w:rPr>
              <w:t>Recommended implementation</w:t>
            </w:r>
          </w:p>
        </w:tc>
      </w:tr>
      <w:tr>
        <w:trPr>
          <w:cantSplit/>
        </w:trPr>
        <w:tc>
          <w:tcPr>
            <w:tcW w:type="dxa" w:w="2250"/>
            <w:vAlign w:val="top"/>
            <w:tcMar>
              <w:top w:w="85" w:type="dxa"/>
              <w:start w:w="120" w:type="dxa"/>
              <w:bottom w:w="85" w:type="dxa"/>
              <w:end w:w="120" w:type="dxa"/>
            </w:tcMar>
          </w:tcPr>
          <w:p>
            <w:pPr>
              <w:keepLines/>
              <w:spacing w:before="0" w:after="40" w:line="240" w:lineRule="auto"/>
            </w:pPr>
            <w:r>
              <w:rPr>
                <w:rFonts w:ascii="Calibri" w:hAnsi="Calibri"/>
                <w:b/>
                <w:color w:val="1F2937"/>
                <w:sz w:val="17"/>
              </w:rPr>
              <w:t>Relative efficiency</w:t>
            </w:r>
          </w:p>
        </w:tc>
        <w:tc>
          <w:tcPr>
            <w:tcW w:type="dxa" w:w="7110"/>
            <w:vAlign w:val="top"/>
            <w:tcMar>
              <w:top w:w="85" w:type="dxa"/>
              <w:start w:w="120" w:type="dxa"/>
              <w:bottom w:w="85" w:type="dxa"/>
              <w:end w:w="120" w:type="dxa"/>
            </w:tcMar>
          </w:tcPr>
          <w:p>
            <w:pPr>
              <w:keepLines/>
              <w:spacing w:before="0" w:after="40" w:line="240" w:lineRule="auto"/>
            </w:pPr>
            <w:r>
              <w:rPr>
                <w:rFonts w:ascii="Calibri" w:hAnsi="Calibri"/>
                <w:color w:val="1F2937"/>
                <w:sz w:val="17"/>
              </w:rPr>
              <w:t>Fit signed log[(error_A + epsilon)/(error_B + epsilon)] surfaces; report zero contours and simultaneous intervals</w:t>
            </w:r>
          </w:p>
        </w:tc>
      </w:tr>
      <w:tr>
        <w:trPr>
          <w:cantSplit/>
        </w:trPr>
        <w:tc>
          <w:tcPr>
            <w:tcW w:type="dxa" w:w="2250"/>
            <w:vAlign w:val="top"/>
            <w:tcMar>
              <w:top w:w="85" w:type="dxa"/>
              <w:start w:w="120" w:type="dxa"/>
              <w:bottom w:w="85" w:type="dxa"/>
              <w:end w:w="120" w:type="dxa"/>
            </w:tcMar>
          </w:tcPr>
          <w:p>
            <w:pPr>
              <w:keepLines/>
              <w:spacing w:before="0" w:after="40" w:line="240" w:lineRule="auto"/>
            </w:pPr>
            <w:r>
              <w:rPr>
                <w:rFonts w:ascii="Calibri" w:hAnsi="Calibri"/>
                <w:b/>
                <w:color w:val="1F2937"/>
                <w:sz w:val="17"/>
              </w:rPr>
              <w:t>Response family</w:t>
            </w:r>
          </w:p>
        </w:tc>
        <w:tc>
          <w:tcPr>
            <w:tcW w:type="dxa" w:w="7110"/>
            <w:vAlign w:val="top"/>
            <w:tcMar>
              <w:top w:w="85" w:type="dxa"/>
              <w:start w:w="120" w:type="dxa"/>
              <w:bottom w:w="85" w:type="dxa"/>
              <w:end w:w="120" w:type="dxa"/>
            </w:tcMar>
          </w:tcPr>
          <w:p>
            <w:pPr>
              <w:keepLines/>
              <w:spacing w:before="0" w:after="40" w:line="240" w:lineRule="auto"/>
            </w:pPr>
            <w:r>
              <w:rPr>
                <w:rFonts w:ascii="Calibri" w:hAnsi="Calibri"/>
                <w:color w:val="1F2937"/>
                <w:sz w:val="17"/>
              </w:rPr>
              <w:t>Use Gamma/log, Tweedie, scaled-t, or a two-part near-zero model; compare by residual diagnostics and out-of-sample scores</w:t>
            </w:r>
          </w:p>
        </w:tc>
      </w:tr>
      <w:tr>
        <w:trPr>
          <w:cantSplit/>
        </w:trPr>
        <w:tc>
          <w:tcPr>
            <w:tcW w:type="dxa" w:w="2250"/>
            <w:vAlign w:val="top"/>
            <w:tcMar>
              <w:top w:w="85" w:type="dxa"/>
              <w:start w:w="120" w:type="dxa"/>
              <w:bottom w:w="85" w:type="dxa"/>
              <w:end w:w="120" w:type="dxa"/>
            </w:tcMar>
          </w:tcPr>
          <w:p>
            <w:pPr>
              <w:keepLines/>
              <w:spacing w:before="0" w:after="40" w:line="240" w:lineRule="auto"/>
            </w:pPr>
            <w:r>
              <w:rPr>
                <w:rFonts w:ascii="Calibri" w:hAnsi="Calibri"/>
                <w:b/>
                <w:color w:val="1F2937"/>
                <w:sz w:val="17"/>
              </w:rPr>
              <w:t>Factorial effects</w:t>
            </w:r>
          </w:p>
        </w:tc>
        <w:tc>
          <w:tcPr>
            <w:tcW w:type="dxa" w:w="7110"/>
            <w:vAlign w:val="top"/>
            <w:tcMar>
              <w:top w:w="85" w:type="dxa"/>
              <w:start w:w="120" w:type="dxa"/>
              <w:bottom w:w="85" w:type="dxa"/>
              <w:end w:w="120" w:type="dxa"/>
            </w:tcMar>
          </w:tcPr>
          <w:p>
            <w:pPr>
              <w:keepLines/>
              <w:spacing w:before="0" w:after="40" w:line="240" w:lineRule="auto"/>
            </w:pPr>
            <w:r>
              <w:rPr>
                <w:rFonts w:ascii="Calibri" w:hAnsi="Calibri"/>
                <w:color w:val="1F2937"/>
                <w:sz w:val="17"/>
              </w:rPr>
              <w:t>Fit G, theta_true, theta_CV, sigma, and mean_nsamp as factors or prespecified nonlinear trends</w:t>
            </w:r>
          </w:p>
        </w:tc>
      </w:tr>
      <w:tr>
        <w:trPr>
          <w:cantSplit/>
        </w:trPr>
        <w:tc>
          <w:tcPr>
            <w:tcW w:type="dxa" w:w="2250"/>
            <w:vAlign w:val="top"/>
            <w:tcMar>
              <w:top w:w="85" w:type="dxa"/>
              <w:start w:w="120" w:type="dxa"/>
              <w:bottom w:w="85" w:type="dxa"/>
              <w:end w:w="120" w:type="dxa"/>
            </w:tcMar>
          </w:tcPr>
          <w:p>
            <w:pPr>
              <w:keepLines/>
              <w:spacing w:before="0" w:after="40" w:line="240" w:lineRule="auto"/>
            </w:pPr>
            <w:r>
              <w:rPr>
                <w:rFonts w:ascii="Calibri" w:hAnsi="Calibri"/>
                <w:b/>
                <w:color w:val="1F2937"/>
                <w:sz w:val="17"/>
              </w:rPr>
              <w:t>Dependence</w:t>
            </w:r>
          </w:p>
        </w:tc>
        <w:tc>
          <w:tcPr>
            <w:tcW w:type="dxa" w:w="7110"/>
            <w:vAlign w:val="top"/>
            <w:tcMar>
              <w:top w:w="85" w:type="dxa"/>
              <w:start w:w="120" w:type="dxa"/>
              <w:bottom w:w="85" w:type="dxa"/>
              <w:end w:w="120" w:type="dxa"/>
            </w:tcMar>
          </w:tcPr>
          <w:p>
            <w:pPr>
              <w:keepLines/>
              <w:spacing w:before="0" w:after="40" w:line="240" w:lineRule="auto"/>
            </w:pPr>
            <w:r>
              <w:rPr>
                <w:rFonts w:ascii="Calibri" w:hAnsi="Calibri"/>
                <w:color w:val="1F2937"/>
                <w:sz w:val="17"/>
              </w:rPr>
              <w:t>Resample complete example_id clusters or fit random effects/correlation for matched methods and metrics</w:t>
            </w:r>
          </w:p>
        </w:tc>
      </w:tr>
      <w:tr>
        <w:trPr>
          <w:cantSplit/>
        </w:trPr>
        <w:tc>
          <w:tcPr>
            <w:tcW w:type="dxa" w:w="2250"/>
            <w:vAlign w:val="top"/>
            <w:tcMar>
              <w:top w:w="85" w:type="dxa"/>
              <w:start w:w="120" w:type="dxa"/>
              <w:bottom w:w="85" w:type="dxa"/>
              <w:end w:w="120" w:type="dxa"/>
            </w:tcMar>
          </w:tcPr>
          <w:p>
            <w:pPr>
              <w:keepLines/>
              <w:spacing w:before="0" w:after="40" w:line="240" w:lineRule="auto"/>
            </w:pPr>
            <w:r>
              <w:rPr>
                <w:rFonts w:ascii="Calibri" w:hAnsi="Calibri"/>
                <w:b/>
                <w:color w:val="1F2937"/>
                <w:sz w:val="17"/>
              </w:rPr>
              <w:t>Simplex support</w:t>
            </w:r>
          </w:p>
        </w:tc>
        <w:tc>
          <w:tcPr>
            <w:tcW w:type="dxa" w:w="7110"/>
            <w:vAlign w:val="top"/>
            <w:tcMar>
              <w:top w:w="85" w:type="dxa"/>
              <w:start w:w="120" w:type="dxa"/>
              <w:bottom w:w="85" w:type="dxa"/>
              <w:end w:w="120" w:type="dxa"/>
            </w:tcMar>
          </w:tcPr>
          <w:p>
            <w:pPr>
              <w:keepLines/>
              <w:spacing w:before="0" w:after="40" w:line="240" w:lineRule="auto"/>
            </w:pPr>
            <w:r>
              <w:rPr>
                <w:rFonts w:ascii="Calibri" w:hAnsi="Calibri"/>
                <w:color w:val="1F2937"/>
                <w:sz w:val="17"/>
              </w:rPr>
              <w:t>Use ilr coordinates or mask predictions to p1 + p2 &lt;= 1 with data-supported exclusion distances</w:t>
            </w:r>
          </w:p>
        </w:tc>
      </w:tr>
      <w:tr>
        <w:trPr>
          <w:cantSplit/>
        </w:trPr>
        <w:tc>
          <w:tcPr>
            <w:tcW w:type="dxa" w:w="2250"/>
            <w:vAlign w:val="top"/>
            <w:tcMar>
              <w:top w:w="85" w:type="dxa"/>
              <w:start w:w="120" w:type="dxa"/>
              <w:bottom w:w="85" w:type="dxa"/>
              <w:end w:w="120" w:type="dxa"/>
            </w:tcMar>
          </w:tcPr>
          <w:p>
            <w:pPr>
              <w:keepLines/>
              <w:spacing w:before="0" w:after="40" w:line="240" w:lineRule="auto"/>
            </w:pPr>
            <w:r>
              <w:rPr>
                <w:rFonts w:ascii="Calibri" w:hAnsi="Calibri"/>
                <w:b/>
                <w:color w:val="1F2937"/>
                <w:sz w:val="17"/>
              </w:rPr>
              <w:t>Uncertainty</w:t>
            </w:r>
          </w:p>
        </w:tc>
        <w:tc>
          <w:tcPr>
            <w:tcW w:type="dxa" w:w="7110"/>
            <w:vAlign w:val="top"/>
            <w:tcMar>
              <w:top w:w="85" w:type="dxa"/>
              <w:start w:w="120" w:type="dxa"/>
              <w:bottom w:w="85" w:type="dxa"/>
              <w:end w:w="120" w:type="dxa"/>
            </w:tcMar>
          </w:tcPr>
          <w:p>
            <w:pPr>
              <w:keepLines/>
              <w:spacing w:before="0" w:after="40" w:line="240" w:lineRule="auto"/>
            </w:pPr>
            <w:r>
              <w:rPr>
                <w:rFonts w:ascii="Calibri" w:hAnsi="Calibri"/>
                <w:color w:val="1F2937"/>
                <w:sz w:val="17"/>
              </w:rPr>
              <w:t>Report simultaneous smooth intervals, cellwise pairwise contrasts, and multiplicity-controlled crossover probabilities</w:t>
            </w:r>
          </w:p>
        </w:tc>
      </w:tr>
      <w:tr>
        <w:trPr>
          <w:cantSplit/>
        </w:trPr>
        <w:tc>
          <w:tcPr>
            <w:tcW w:type="dxa" w:w="2250"/>
            <w:vAlign w:val="top"/>
            <w:tcMar>
              <w:top w:w="85" w:type="dxa"/>
              <w:start w:w="120" w:type="dxa"/>
              <w:bottom w:w="85" w:type="dxa"/>
              <w:end w:w="120" w:type="dxa"/>
            </w:tcMar>
          </w:tcPr>
          <w:p>
            <w:pPr>
              <w:keepLines/>
              <w:spacing w:before="0" w:after="40" w:line="240" w:lineRule="auto"/>
            </w:pPr>
            <w:r>
              <w:rPr>
                <w:rFonts w:ascii="Calibri" w:hAnsi="Calibri"/>
                <w:b/>
                <w:color w:val="1F2937"/>
                <w:sz w:val="17"/>
              </w:rPr>
              <w:t>Sampling sensitivity</w:t>
            </w:r>
          </w:p>
        </w:tc>
        <w:tc>
          <w:tcPr>
            <w:tcW w:type="dxa" w:w="7110"/>
            <w:vAlign w:val="top"/>
            <w:tcMar>
              <w:top w:w="85" w:type="dxa"/>
              <w:start w:w="120" w:type="dxa"/>
              <w:bottom w:w="85" w:type="dxa"/>
              <w:end w:w="120" w:type="dxa"/>
            </w:tcMar>
          </w:tcPr>
          <w:p>
            <w:pPr>
              <w:keepLines/>
              <w:spacing w:before="0" w:after="40" w:line="240" w:lineRule="auto"/>
            </w:pPr>
            <w:r>
              <w:rPr>
                <w:rFonts w:ascii="Calibri" w:hAnsi="Calibri"/>
                <w:color w:val="1F2937"/>
                <w:sz w:val="17"/>
              </w:rPr>
              <w:t>Repeat partition sampling across seeds and verify that rankings and surfaces are stable</w:t>
            </w:r>
          </w:p>
        </w:tc>
      </w:tr>
    </w:tbl>
    <w:p>
      <w:pPr>
        <w:spacing w:after="0"/>
      </w:pPr>
    </w:p>
    <w:p>
      <w:r>
        <w:br w:type="page"/>
      </w:r>
    </w:p>
    <w:p>
      <w:pPr>
        <w:pStyle w:val="Heading1"/>
        <w:keepNext/>
      </w:pPr>
      <w:r>
        <w:t>8. Integrated conclusion</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2550"/>
        <w:gridCol w:w="4710"/>
      </w:tblGrid>
      <w:tr>
        <w:trPr>
          <w:trHeight w:hRule="atLeast"/>
          <w:tblHeader w:val="true"/>
        </w:trPr>
        <w:tc>
          <w:tcPr>
            <w:tcW w:type="dxa" w:w="2100"/>
            <w:shd w:fill="E8EEF5"/>
            <w:vAlign w:val="center"/>
            <w:tcMar>
              <w:top w:w="85" w:type="dxa"/>
              <w:start w:w="120" w:type="dxa"/>
              <w:bottom w:w="85" w:type="dxa"/>
              <w:end w:w="120" w:type="dxa"/>
            </w:tcMar>
          </w:tcPr>
          <w:p>
            <w:pPr>
              <w:keepLines/>
              <w:spacing w:before="0" w:after="0"/>
            </w:pPr>
            <w:r>
              <w:rPr>
                <w:rFonts w:ascii="Calibri" w:hAnsi="Calibri"/>
                <w:b/>
                <w:color w:val="1F4D78"/>
                <w:sz w:val="16"/>
              </w:rPr>
              <w:t>Question</w:t>
            </w:r>
          </w:p>
        </w:tc>
        <w:tc>
          <w:tcPr>
            <w:tcW w:type="dxa" w:w="2550"/>
            <w:shd w:fill="E8EEF5"/>
            <w:vAlign w:val="center"/>
            <w:tcMar>
              <w:top w:w="85" w:type="dxa"/>
              <w:start w:w="120" w:type="dxa"/>
              <w:bottom w:w="85" w:type="dxa"/>
              <w:end w:w="120" w:type="dxa"/>
            </w:tcMar>
          </w:tcPr>
          <w:p>
            <w:pPr>
              <w:keepLines/>
              <w:spacing w:before="0" w:after="0"/>
            </w:pPr>
            <w:r>
              <w:rPr>
                <w:rFonts w:ascii="Calibri" w:hAnsi="Calibri"/>
                <w:b/>
                <w:color w:val="1F4D78"/>
                <w:sz w:val="16"/>
              </w:rPr>
              <w:t>Conclusion</w:t>
            </w:r>
          </w:p>
        </w:tc>
        <w:tc>
          <w:tcPr>
            <w:tcW w:type="dxa" w:w="4710"/>
            <w:shd w:fill="E8EEF5"/>
            <w:vAlign w:val="center"/>
            <w:tcMar>
              <w:top w:w="85" w:type="dxa"/>
              <w:start w:w="120" w:type="dxa"/>
              <w:bottom w:w="85" w:type="dxa"/>
              <w:end w:w="120" w:type="dxa"/>
            </w:tcMar>
          </w:tcPr>
          <w:p>
            <w:pPr>
              <w:keepLines/>
              <w:spacing w:before="0" w:after="0"/>
            </w:pPr>
            <w:r>
              <w:rPr>
                <w:rFonts w:ascii="Calibri" w:hAnsi="Calibri"/>
                <w:b/>
                <w:color w:val="1F4D78"/>
                <w:sz w:val="16"/>
              </w:rPr>
              <w:t>Numerical basis</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Global fit</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38.8% deviance explained</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Useful descriptive structure; incomplete predictive model</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Dominant factors</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sigma, then G</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Approximate influence analogs 0.132 and 0.095</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Least influential factor</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theta_CV</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Approximate influence analog 0.00022</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Metric interaction</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Decisive but small</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Ranking within leading group changes by metric</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Leading methods</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iii, iv, and v</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Tightly grouped conditional contrasts</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Weakest method</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ii</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Higher fitted response for L1, Linf, and RMSE</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Basis adequacy</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Supported</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k-index 0.98-1.02; no low-k signal</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Likelihood adequacy</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Not supported</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Heavy tails and heteroscedasticity</w:t>
            </w:r>
          </w:p>
        </w:tc>
      </w:tr>
      <w:tr>
        <w:trPr>
          <w:cantSplit/>
        </w:trPr>
        <w:tc>
          <w:tcPr>
            <w:tcW w:type="dxa" w:w="2100"/>
            <w:vAlign w:val="top"/>
            <w:tcMar>
              <w:top w:w="85" w:type="dxa"/>
              <w:start w:w="120" w:type="dxa"/>
              <w:bottom w:w="85" w:type="dxa"/>
              <w:end w:w="120" w:type="dxa"/>
            </w:tcMar>
          </w:tcPr>
          <w:p>
            <w:pPr>
              <w:keepLines/>
              <w:spacing w:before="0" w:after="40" w:line="240" w:lineRule="auto"/>
            </w:pPr>
            <w:r>
              <w:rPr>
                <w:rFonts w:ascii="Calibri" w:hAnsi="Calibri"/>
                <w:b/>
                <w:color w:val="1F2937"/>
                <w:sz w:val="16"/>
              </w:rPr>
              <w:t>v vs iii direction</w:t>
            </w:r>
          </w:p>
        </w:tc>
        <w:tc>
          <w:tcPr>
            <w:tcW w:type="dxa" w:w="2550"/>
            <w:vAlign w:val="top"/>
            <w:tcMar>
              <w:top w:w="85" w:type="dxa"/>
              <w:start w:w="120" w:type="dxa"/>
              <w:bottom w:w="85" w:type="dxa"/>
              <w:end w:w="120" w:type="dxa"/>
            </w:tcMar>
          </w:tcPr>
          <w:p>
            <w:pPr>
              <w:keepLines/>
              <w:spacing w:before="0" w:after="40" w:line="240" w:lineRule="auto"/>
            </w:pPr>
            <w:r>
              <w:rPr>
                <w:rFonts w:ascii="Calibri" w:hAnsi="Calibri"/>
                <w:color w:val="1F2937"/>
                <w:sz w:val="16"/>
              </w:rPr>
              <w:t>Unresolved</w:t>
            </w:r>
          </w:p>
        </w:tc>
        <w:tc>
          <w:tcPr>
            <w:tcW w:type="dxa" w:w="4710"/>
            <w:vAlign w:val="top"/>
            <w:tcMar>
              <w:top w:w="85" w:type="dxa"/>
              <w:start w:w="120" w:type="dxa"/>
              <w:bottom w:w="85" w:type="dxa"/>
              <w:end w:w="120" w:type="dxa"/>
            </w:tcMar>
          </w:tcPr>
          <w:p>
            <w:pPr>
              <w:keepLines/>
              <w:spacing w:before="0" w:after="40" w:line="240" w:lineRule="auto"/>
            </w:pPr>
            <w:r>
              <w:rPr>
                <w:rFonts w:ascii="Calibri" w:hAnsi="Calibri"/>
                <w:color w:val="1F2937"/>
                <w:sz w:val="16"/>
              </w:rPr>
              <w:t>Absolute value removes the sign</w:t>
            </w:r>
          </w:p>
        </w:tc>
      </w:tr>
    </w:tbl>
    <w:p>
      <w:pPr>
        <w:spacing w:after="0"/>
      </w:pPr>
    </w:p>
    <w:p>
      <w:pPr>
        <w:keepLines/>
      </w:pPr>
      <w:r>
        <w:t>The main scientific result is a clear separation between design sensitivity and method sensitivity. Sigma and G govern far more of the fitted accuracy variation than the adjusted method main effect. Nevertheless, method choice matters: method ii is consistently inferior, method i is intermediate, and methods iii, iv, and v form the competitive set. Within that set, method performance is metric-dependent and varies over the simplex.</w:t>
      </w:r>
    </w:p>
    <w:p>
      <w:pPr>
        <w:keepLines/>
      </w:pPr>
      <w:r>
        <w:t>The smooth-surface analysis adds important structure beyond summary tables. Errors tend to be elevated in interior regions of the simplex and reduced toward several edges, while the absolute v-versus-iii gap is maximized near p1 and p2 of 0.3-0.4. Method iii is the most location-sensitive, method ii the least, and methods iv and v are intermediate. These conclusions apply only within observed compositional support.</w:t>
      </w:r>
    </w:p>
    <w:p>
      <w:pPr>
        <w:keepLines/>
      </w:pPr>
      <w:r>
        <w:t>The numerical significance is unquestionable, but the current likelihood and transformation prevent a final relative-efficiency claim. The appropriate next step is a simplex-valid, signed log-ratio GAM with robust mean-variance treatment, matched-example uncertainty, and factor-level contrasts. Until that analysis is available, method iv is the best provisional cross-metric choice from Code E, while iii and v remain statistically and practically competitive alternatives.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6"/>
      </w:rPr>
      <w:t>COMPOSITIONAL LIKELIHOODS | GENERALIZED ADDITIVE MODEL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Statistical Analysis of Code E GAM Estimation Accuracy</dc:title>
  <dc:subject>Generalized additive model analysis of five compositional likelihood estimation methods</dc:subject>
  <dc:creator>OpenAI</dc:creator>
  <cp:keywords>GAM, bam, mgcv, gratia, compositional likelihood, RMSE, L1, Linf, simplex, diagnostics</cp:keywords>
  <dc:description>generated by python-docx</dc:description>
  <cp:lastModifiedBy/>
  <cp:revision>1</cp:revision>
  <dcterms:created xsi:type="dcterms:W3CDTF">2013-12-23T23:15:00Z</dcterms:created>
  <dcterms:modified xsi:type="dcterms:W3CDTF">2013-12-23T23:15:00Z</dcterms:modified>
  <cp:category/>
</cp:coreProperties>
</file>