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FE5ED4" w14:textId="77777777" w:rsidR="00E536D6" w:rsidRDefault="00000000">
      <w:pPr>
        <w:pStyle w:val="Title"/>
      </w:pPr>
      <w:r>
        <w:t>Formal Analysis of Estimation Accuracy: Linear Mixed-Effects Model (LMM)</w:t>
      </w:r>
    </w:p>
    <w:p w14:paraId="3B88CFDF" w14:textId="77777777" w:rsidR="00E536D6" w:rsidRDefault="00000000">
      <w:pPr>
        <w:pStyle w:val="Heading1"/>
      </w:pPr>
      <w:r>
        <w:t>Model Interpretation and Significance</w:t>
      </w:r>
    </w:p>
    <w:p w14:paraId="0A9B645F" w14:textId="014E81C4" w:rsidR="00E536D6" w:rsidRDefault="00000000">
      <w:r>
        <w:t>The Type III Analysis of Variance utilizing Satterthwaite's approximation confirms that all primary fixed effects, including the estimation Method (F = 20.54, p &lt; 0.001) and the evaluation Metric (F = 178250, p &lt; 0.001), are overwhelmingly significant drivers of the log-transformed estimation accuracy. The highly significant Method × Metric interaction (F = 276.21, p &lt; 0.001) is particularly noteworthy. This interaction implies that method performance is not completely uniform across error definitions; a method might perform adequately under the RMSE criterion but deteriorate when evaluated under L1 or Linf norms, highlighting differential sensitivities to specific types of structural error.</w:t>
      </w:r>
    </w:p>
    <w:p w14:paraId="0666597F" w14:textId="77777777" w:rsidR="00E536D6" w:rsidRDefault="00000000">
      <w:pPr>
        <w:pStyle w:val="Heading1"/>
      </w:pPr>
      <w:r>
        <w:t>Experimental Factor Influence</w:t>
      </w:r>
    </w:p>
    <w:p w14:paraId="1F840D78" w14:textId="1D0A5E9E" w:rsidR="00E536D6" w:rsidRDefault="00000000">
      <w:r>
        <w:t>Based on the F-statistics and Sum of Squares, the experimental factors influence the log-accuracy in the following hierarchy:</w:t>
      </w:r>
      <w:r>
        <w:br/>
        <w:t>1. Metric: The dominant factor by a massive margin (Sum Sq = 1632.60, F = 178250).</w:t>
      </w:r>
      <w:r>
        <w:br/>
        <w:t>2. Sigma (Noise): The most influential structural factor (Sum Sq = 54.50, F = 5949.9).</w:t>
      </w:r>
      <w:r>
        <w:br/>
        <w:t>3. G (Grouping/Complexity): Highly influential (Sum Sq = 33.32, F = 3637.6).</w:t>
      </w:r>
      <w:r>
        <w:br/>
        <w:t>4. Mean sample size (mean_nsamp): Substantial influence (Sum Sq = 2.87, F = 313.27).</w:t>
      </w:r>
      <w:r>
        <w:br/>
        <w:t>5. Proportion bounds (p1 and p2): Strong influence (p1 Sum Sq = 1.30, F = 284.27; p2 Sum Sq = 0.38, F = 83.84).</w:t>
      </w:r>
      <w:r>
        <w:br/>
        <w:t>6. Theta_CV: The least influential factor (Sum Sq = 0.10, F = 11.29), though still statistically significant (p = 0.00001).</w:t>
      </w:r>
    </w:p>
    <w:p w14:paraId="28056E24" w14:textId="77777777" w:rsidR="00E536D6" w:rsidRDefault="00000000">
      <w:pPr>
        <w:pStyle w:val="Heading1"/>
      </w:pPr>
      <w:r>
        <w:t>Comparative Method Performance</w:t>
      </w:r>
    </w:p>
    <w:p w14:paraId="735F21BC" w14:textId="6AB1BFED" w:rsidR="00E536D6" w:rsidRDefault="00000000">
      <w:r>
        <w:t>The Estimated Marginal Means (EMMs) and Holm-adjusted pairwise comparisons reveal clear performance tiers when averaged equally over metrics:</w:t>
      </w:r>
      <w:r>
        <w:br/>
        <w:t>• Globally Superior Methods: Method v (EMM = 0.140) and Method iii (EMM = 0.141) are the strongest global performers. The pairwise contrast between Method iii and Method v is not statistically significant (p = 0.5875), indicating they are practically tied for best performance.</w:t>
      </w:r>
      <w:r>
        <w:br/>
        <w:t>• Inferior Method: Method ii is consistently the worst performer globally (EMM = 0.158). All pairwise comparisons show Method ii is significantly worse than every other method (p &lt; 0.0001 for all).</w:t>
      </w:r>
      <w:r>
        <w:br/>
        <w:t xml:space="preserve">• Metric-Specific Sensitivities: The Method × Metric interaction is evident. For instance, while Method iii and v are statistically indistinguishable under L1 (p = 0.9827) and Linf (p = 0.9381) norms, under the RMSE metric, Method i is comparable to both Method iv (p = </w:t>
      </w:r>
      <w:r>
        <w:lastRenderedPageBreak/>
        <w:t>0.7186) and Method iii (p = 0.0928), showing that the penalty scaling of different norms shifts relative method rankings.</w:t>
      </w:r>
    </w:p>
    <w:p w14:paraId="239E0E27" w14:textId="77777777" w:rsidR="00E536D6" w:rsidRDefault="00000000">
      <w:pPr>
        <w:pStyle w:val="Heading1"/>
      </w:pPr>
      <w:r>
        <w:t>Hierarchical Context</w:t>
      </w:r>
    </w:p>
    <w:p w14:paraId="0191B488" w14:textId="1CEE21F4" w:rsidR="00E536D6" w:rsidRDefault="00000000">
      <w:r>
        <w:t>The inclusion of simplex_id as a random effect accounts for the structural heterogeneity across the 9,477 unique simulation environments. The random effect variance (Variance = 0.00088) is relatively small compared to the residual variance (Variance = 0.00457). This implies that while baseline difficulty varies slightly across specific simplex structures, the overwhelming majority of the variance is explained by the fixed experimental factors (sigma, G) and method choices. Consequently, the method rankings (e.g., v and iii &gt; ii) are highly stable and robust across diverse simulated environments.</w:t>
      </w:r>
    </w:p>
    <w:p w14:paraId="4DC76806" w14:textId="77777777" w:rsidR="00E536D6" w:rsidRDefault="00000000">
      <w:pPr>
        <w:pStyle w:val="Heading1"/>
      </w:pPr>
      <w:r>
        <w:t>Proportion-Specific Diagnostics</w:t>
      </w:r>
    </w:p>
    <w:p w14:paraId="75EE84DF" w14:textId="719D3F79" w:rsidR="00E536D6" w:rsidRDefault="00000000">
      <w:r>
        <w:t xml:space="preserve">The significant fixed effects of the proportion </w:t>
      </w:r>
      <w:proofErr w:type="gramStart"/>
      <w:r>
        <w:t>bounds</w:t>
      </w:r>
      <w:proofErr w:type="gramEnd"/>
      <w:r>
        <w:t xml:space="preserve"> p1 (F = 284.27) and p2 (F = 83.84) reinforce the impact of heteroscedasticity inherent in bounded proportions [0, 1]. Methods that fail to account for variance compression near the boundaries (0 and 1) likely suffer severe accuracy penalties in those regions. Methods iii and v, which perform best, likely utilize transformations (e.g., Arcsine, Logit) or appropriate link functions that effectively stabilize variance and respect these boundaries, unlike the inferior Method ii.</w:t>
      </w:r>
    </w:p>
    <w:p w14:paraId="5A6C4A62" w14:textId="77777777" w:rsidR="00E536D6" w:rsidRDefault="00000000">
      <w:pPr>
        <w:pStyle w:val="Heading1"/>
      </w:pPr>
      <w:r>
        <w:t>Summary of LMM, ANOVA, and emmeans Analyses</w:t>
      </w:r>
    </w:p>
    <w:p w14:paraId="076E76AF" w14:textId="740BBC94" w:rsidR="00E536D6" w:rsidRDefault="00000000">
      <w:r>
        <w:t xml:space="preserve">In summary, the Linear Mixed-Effects Model (LMM) analysis on 142,155 reduced cells demonstrates that estimation accuracy is profoundly influenced by structural noise (sigma) and grouping complexity (G). Methods v and iii emerged as the globally superior and most robust estimation methods across varied environments, effectively minimizing error across RMSE, L1, and </w:t>
      </w:r>
      <w:proofErr w:type="spellStart"/>
      <w:r>
        <w:t>Linf</w:t>
      </w:r>
      <w:proofErr w:type="spellEnd"/>
      <w:r>
        <w:t xml:space="preserve"> norms. Method ii is universally the least accurate method. Significant method-by-metric interactions highlight that method robustness fluctuates depending on how error is defined, emphasizing the need to select methods aligned with the specific penalty structure of the analysis. The random effects confirm that these method hierarchies are stable regardless of the specific underlying simplex structure, and the strong influence of boundary parameters (p1, p2) highlights the critical necessity of managing proportional heteroscedasticity.</w:t>
      </w:r>
    </w:p>
    <w:sectPr w:rsidR="00E536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888390">
    <w:abstractNumId w:val="8"/>
  </w:num>
  <w:num w:numId="2" w16cid:durableId="78604708">
    <w:abstractNumId w:val="6"/>
  </w:num>
  <w:num w:numId="3" w16cid:durableId="1767650430">
    <w:abstractNumId w:val="5"/>
  </w:num>
  <w:num w:numId="4" w16cid:durableId="1274747361">
    <w:abstractNumId w:val="4"/>
  </w:num>
  <w:num w:numId="5" w16cid:durableId="79329103">
    <w:abstractNumId w:val="7"/>
  </w:num>
  <w:num w:numId="6" w16cid:durableId="194661666">
    <w:abstractNumId w:val="3"/>
  </w:num>
  <w:num w:numId="7" w16cid:durableId="1357460653">
    <w:abstractNumId w:val="2"/>
  </w:num>
  <w:num w:numId="8" w16cid:durableId="1467090722">
    <w:abstractNumId w:val="1"/>
  </w:num>
  <w:num w:numId="9" w16cid:durableId="249968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5F1"/>
    <w:rsid w:val="00AA1D8D"/>
    <w:rsid w:val="00B47730"/>
    <w:rsid w:val="00CB0664"/>
    <w:rsid w:val="00E417EF"/>
    <w:rsid w:val="00E536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F9B3A"/>
  <w14:defaultImageDpi w14:val="300"/>
  <w15:docId w15:val="{19F845AC-053A-4741-B2C1-F60B03CE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Brodziak</cp:lastModifiedBy>
  <cp:revision>2</cp:revision>
  <dcterms:created xsi:type="dcterms:W3CDTF">2013-12-23T23:15:00Z</dcterms:created>
  <dcterms:modified xsi:type="dcterms:W3CDTF">2026-09-12T01:45:00Z</dcterms:modified>
  <cp:category/>
</cp:coreProperties>
</file>