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2"/>
        <w:keepNext/>
        <w:spacing w:after="200"/>
      </w:pPr>
      <w:r>
        <w:rPr>
          <w:rFonts w:ascii="Times New Roman" w:hAnsi="Times New Roman"/>
        </w:rPr>
        <w:t>Integrated Analysis of Compositional Likelihood Estimation Results</w:t>
      </w:r>
    </w:p>
    <w:p>
      <w:pPr>
        <w:pStyle w:val="NormalWeb"/>
      </w:pPr>
      <w:r>
        <w:rPr>
          <w:rFonts w:ascii="Times New Roman" w:hAnsi="Times New Roman"/>
        </w:rPr>
        <w:t>Goal. This report integrates the five analyses reported in Codes A, B, C1, C2, and E to determine how five compositional likelihood estimation methods perform across RMSE, L1, and Linf accuracy criteria and across the factorial simulation conditions. The evidence supports a stable practical ordering: methods iii and v are the leading estimators, method iv is a close third, method i is intermediate and conditionally competitive, and method ii is consistently least accurate. Method iii is the best single default when accuracy alone determines selection, while method v is a near-equivalent alternative with a local advantage over much of the central probability simplex.</w:t>
      </w:r>
    </w:p>
    <w:p>
      <w:pPr>
        <w:pStyle w:val="Heading2"/>
        <w:keepNext/>
      </w:pPr>
      <w:r>
        <w:rPr>
          <w:rFonts w:ascii="Times New Roman" w:hAnsi="Times New Roman"/>
        </w:rPr>
        <w:t>1. Scope and analytical basis</w:t>
      </w:r>
    </w:p>
    <w:p>
      <w:pPr>
        <w:pStyle w:val="NormalWeb"/>
      </w:pPr>
      <w:r>
        <w:rPr>
          <w:rFonts w:ascii="Times New Roman" w:hAnsi="Times New Roman"/>
        </w:rPr>
        <w:t>The five analyses address different but complementary aspects of estimator performance. Code A provides factorial MANOVA and metric-specific ANOVA results, including adjusted method means and effect-size estimates. Code B fits a long-format mixed-effects model with a random intercept for simplex environment, thereby accounting for repeated accuracy measurements within the same simulated setting. Code C1 tests paired multivariate method differences and converts log-differences into directly interpretable error ratios. Code C2 evaluates whether those pairwise performance gaps change with the experimental factors. Code E uses generalized additive models to identify nonlinear accuracy patterns over the probability simplex and to map the direction and magnitude of differences between methods v and iii.</w:t>
      </w:r>
    </w:p>
    <w:p>
      <w:pPr>
        <w:pStyle w:val="NormalWeb"/>
      </w:pPr>
      <w:r>
        <w:rPr>
          <w:rFonts w:ascii="Times New Roman" w:hAnsi="Times New Roman"/>
        </w:rPr>
        <w:t>The analyses are mutually reinforcing rather than interchangeable. Code A summarizes broad factorial effects; Code B provides the strongest dependence-adjusted global comparison; Codes C1 and C2 quantify paired relative efficiency and its sensitivity to design conditions; and Code E identifies spatially localized behavior that linear p1 and p2 terms cannot detect. Agreement across these distinct inferential views is therefore stronger evidence than any single p-value or model-specific ranking.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00"/>
        <w:gridCol w:w="3600"/>
        <w:gridCol w:w="3600"/>
      </w:tblGrid>
      <w:tr>
        <w:trPr>
          <w:tblHeader w:val="true"/>
        </w:trPr>
        <w:tc>
          <w:tcPr>
            <w:tcW w:type="dxa" w:w="936"/>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9"/>
              </w:rPr>
              <w:t>Analysis</w:t>
            </w:r>
          </w:p>
        </w:tc>
        <w:tc>
          <w:tcPr>
            <w:tcW w:type="dxa" w:w="3528"/>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9"/>
              </w:rPr>
              <w:t>Primary statistical role</w:t>
            </w:r>
          </w:p>
        </w:tc>
        <w:tc>
          <w:tcPr>
            <w:tcW w:type="dxa" w:w="6264"/>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9"/>
              </w:rPr>
              <w:t>Main contribution to the integrated conclusion</w:t>
            </w:r>
          </w:p>
        </w:tc>
      </w:tr>
      <w:tr>
        <w:tc>
          <w:tcPr>
            <w:tcW w:type="dxa" w:w="936"/>
            <w:vAlign w:val="center"/>
            <w:tcMar>
              <w:top w:w="90" w:type="dxa"/>
              <w:start w:w="100" w:type="dxa"/>
              <w:bottom w:w="90" w:type="dxa"/>
              <w:end w:w="100" w:type="dxa"/>
            </w:tcMar>
          </w:tcPr>
          <w:p>
            <w:pPr>
              <w:spacing w:before="0" w:after="0" w:line="240" w:lineRule="auto"/>
              <w:jc w:val="left"/>
            </w:pPr>
            <w:r>
              <w:rPr>
                <w:rFonts w:ascii="Times New Roman" w:hAnsi="Times New Roman"/>
                <w:sz w:val="19"/>
              </w:rPr>
              <w:t>A</w:t>
            </w:r>
          </w:p>
        </w:tc>
        <w:tc>
          <w:tcPr>
            <w:tcW w:type="dxa" w:w="3528"/>
            <w:vAlign w:val="center"/>
            <w:tcMar>
              <w:top w:w="90" w:type="dxa"/>
              <w:start w:w="100" w:type="dxa"/>
              <w:bottom w:w="90" w:type="dxa"/>
              <w:end w:w="100" w:type="dxa"/>
            </w:tcMar>
          </w:tcPr>
          <w:p>
            <w:pPr>
              <w:spacing w:before="0" w:after="0" w:line="240" w:lineRule="auto"/>
              <w:jc w:val="left"/>
            </w:pPr>
            <w:r>
              <w:rPr>
                <w:rFonts w:ascii="Times New Roman" w:hAnsi="Times New Roman"/>
                <w:sz w:val="19"/>
              </w:rPr>
              <w:t>Factorial MANOVA and univariate ANOVAs</w:t>
            </w:r>
          </w:p>
        </w:tc>
        <w:tc>
          <w:tcPr>
            <w:tcW w:type="dxa" w:w="6264"/>
            <w:vAlign w:val="center"/>
            <w:tcMar>
              <w:top w:w="90" w:type="dxa"/>
              <w:start w:w="100" w:type="dxa"/>
              <w:bottom w:w="90" w:type="dxa"/>
              <w:end w:w="100" w:type="dxa"/>
            </w:tcMar>
          </w:tcPr>
          <w:p>
            <w:pPr>
              <w:spacing w:before="0" w:after="0" w:line="240" w:lineRule="auto"/>
              <w:jc w:val="left"/>
            </w:pPr>
            <w:r>
              <w:rPr>
                <w:rFonts w:ascii="Times New Roman" w:hAnsi="Times New Roman"/>
                <w:sz w:val="19"/>
              </w:rPr>
              <w:t>Establishes method differences, ranks the major experimental effects, and identifies the method-by-sigma crossover.</w:t>
            </w:r>
          </w:p>
        </w:tc>
      </w:tr>
      <w:tr>
        <w:tc>
          <w:tcPr>
            <w:tcW w:type="dxa" w:w="936"/>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B</w:t>
            </w:r>
          </w:p>
        </w:tc>
        <w:tc>
          <w:tcPr>
            <w:tcW w:type="dxa" w:w="3528"/>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Mixed-effects model with simplex random intercept</w:t>
            </w:r>
          </w:p>
        </w:tc>
        <w:tc>
          <w:tcPr>
            <w:tcW w:type="dxa" w:w="6264"/>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Confirms the global ranking while accounting for repeated observations; estimates an intraclass correlation of about 0.121.</w:t>
            </w:r>
          </w:p>
        </w:tc>
      </w:tr>
      <w:tr>
        <w:tc>
          <w:tcPr>
            <w:tcW w:type="dxa" w:w="936"/>
            <w:vAlign w:val="center"/>
            <w:tcMar>
              <w:top w:w="90" w:type="dxa"/>
              <w:start w:w="100" w:type="dxa"/>
              <w:bottom w:w="90" w:type="dxa"/>
              <w:end w:w="100" w:type="dxa"/>
            </w:tcMar>
          </w:tcPr>
          <w:p>
            <w:pPr>
              <w:spacing w:before="0" w:after="0" w:line="240" w:lineRule="auto"/>
              <w:jc w:val="left"/>
            </w:pPr>
            <w:r>
              <w:rPr>
                <w:rFonts w:ascii="Times New Roman" w:hAnsi="Times New Roman"/>
                <w:sz w:val="19"/>
              </w:rPr>
              <w:t>C1</w:t>
            </w:r>
          </w:p>
        </w:tc>
        <w:tc>
          <w:tcPr>
            <w:tcW w:type="dxa" w:w="3528"/>
            <w:vAlign w:val="center"/>
            <w:tcMar>
              <w:top w:w="90" w:type="dxa"/>
              <w:start w:w="100" w:type="dxa"/>
              <w:bottom w:w="90" w:type="dxa"/>
              <w:end w:w="100" w:type="dxa"/>
            </w:tcMar>
          </w:tcPr>
          <w:p>
            <w:pPr>
              <w:spacing w:before="0" w:after="0" w:line="240" w:lineRule="auto"/>
              <w:jc w:val="left"/>
            </w:pPr>
            <w:r>
              <w:rPr>
                <w:rFonts w:ascii="Times New Roman" w:hAnsi="Times New Roman"/>
                <w:sz w:val="19"/>
              </w:rPr>
              <w:t>Paired Hotelling/Pillai comparisons</w:t>
            </w:r>
          </w:p>
        </w:tc>
        <w:tc>
          <w:tcPr>
            <w:tcW w:type="dxa" w:w="6264"/>
            <w:vAlign w:val="center"/>
            <w:tcMar>
              <w:top w:w="90" w:type="dxa"/>
              <w:start w:w="100" w:type="dxa"/>
              <w:bottom w:w="90" w:type="dxa"/>
              <w:end w:w="100" w:type="dxa"/>
            </w:tcMar>
          </w:tcPr>
          <w:p>
            <w:pPr>
              <w:spacing w:before="0" w:after="0" w:line="240" w:lineRule="auto"/>
              <w:jc w:val="left"/>
            </w:pPr>
            <w:r>
              <w:rPr>
                <w:rFonts w:ascii="Times New Roman" w:hAnsi="Times New Roman"/>
                <w:sz w:val="19"/>
              </w:rPr>
              <w:t>Shows that all method pairs differ multivariately and quantifies the practical size of their relative error differences.</w:t>
            </w:r>
          </w:p>
        </w:tc>
      </w:tr>
      <w:tr>
        <w:tc>
          <w:tcPr>
            <w:tcW w:type="dxa" w:w="936"/>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C2</w:t>
            </w:r>
          </w:p>
        </w:tc>
        <w:tc>
          <w:tcPr>
            <w:tcW w:type="dxa" w:w="3528"/>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Factorial MANOVA of paired log-differences</w:t>
            </w:r>
          </w:p>
        </w:tc>
        <w:tc>
          <w:tcPr>
            <w:tcW w:type="dxa" w:w="6264"/>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Identifies sigma, G, design block, and mean sample size as the main modifiers of method performance gaps.</w:t>
            </w:r>
          </w:p>
        </w:tc>
      </w:tr>
      <w:tr>
        <w:tc>
          <w:tcPr>
            <w:tcW w:type="dxa" w:w="936"/>
            <w:vAlign w:val="center"/>
            <w:tcMar>
              <w:top w:w="90" w:type="dxa"/>
              <w:start w:w="100" w:type="dxa"/>
              <w:bottom w:w="90" w:type="dxa"/>
              <w:end w:w="100" w:type="dxa"/>
            </w:tcMar>
          </w:tcPr>
          <w:p>
            <w:pPr>
              <w:spacing w:before="0" w:after="0" w:line="240" w:lineRule="auto"/>
              <w:jc w:val="left"/>
            </w:pPr>
            <w:r>
              <w:rPr>
                <w:rFonts w:ascii="Times New Roman" w:hAnsi="Times New Roman"/>
                <w:sz w:val="19"/>
              </w:rPr>
              <w:t>E</w:t>
            </w:r>
          </w:p>
        </w:tc>
        <w:tc>
          <w:tcPr>
            <w:tcW w:type="dxa" w:w="3528"/>
            <w:vAlign w:val="center"/>
            <w:tcMar>
              <w:top w:w="90" w:type="dxa"/>
              <w:start w:w="100" w:type="dxa"/>
              <w:bottom w:w="90" w:type="dxa"/>
              <w:end w:w="100" w:type="dxa"/>
            </w:tcMar>
          </w:tcPr>
          <w:p>
            <w:pPr>
              <w:spacing w:before="0" w:after="0" w:line="240" w:lineRule="auto"/>
              <w:jc w:val="left"/>
            </w:pPr>
            <w:r>
              <w:rPr>
                <w:rFonts w:ascii="Times New Roman" w:hAnsi="Times New Roman"/>
                <w:sz w:val="19"/>
              </w:rPr>
              <w:t>Global, difference, and signed-ratio GAMs</w:t>
            </w:r>
          </w:p>
        </w:tc>
        <w:tc>
          <w:tcPr>
            <w:tcW w:type="dxa" w:w="6264"/>
            <w:vAlign w:val="center"/>
            <w:tcMar>
              <w:top w:w="90" w:type="dxa"/>
              <w:start w:w="100" w:type="dxa"/>
              <w:bottom w:w="90" w:type="dxa"/>
              <w:end w:w="100" w:type="dxa"/>
            </w:tcMar>
          </w:tcPr>
          <w:p>
            <w:pPr>
              <w:spacing w:before="0" w:after="0" w:line="240" w:lineRule="auto"/>
              <w:jc w:val="left"/>
            </w:pPr>
            <w:r>
              <w:rPr>
                <w:rFonts w:ascii="Times New Roman" w:hAnsi="Times New Roman"/>
                <w:sz w:val="19"/>
              </w:rPr>
              <w:t>Shows nonlinear simplex effects and a broad central region where method v can outperform method iii.</w:t>
            </w:r>
          </w:p>
        </w:tc>
      </w:tr>
    </w:tbl>
    <w:p>
      <w:pPr>
        <w:pStyle w:val="NormalWeb"/>
        <w:spacing w:after="0"/>
      </w:pPr>
    </w:p>
    <w:p>
      <w:pPr>
        <w:pStyle w:val="Heading2"/>
        <w:keepNext/>
      </w:pPr>
      <w:r>
        <w:rPr>
          <w:rFonts w:ascii="Times New Roman" w:hAnsi="Times New Roman"/>
        </w:rPr>
        <w:t>2. Overall evidence for differences among methods</w:t>
      </w:r>
    </w:p>
    <w:p>
      <w:pPr>
        <w:pStyle w:val="NormalWeb"/>
      </w:pPr>
      <w:r>
        <w:rPr>
          <w:rFonts w:ascii="Times New Roman" w:hAnsi="Times New Roman"/>
        </w:rPr>
        <w:t>All confirmatory analyses reject equivalence among the five methods. In Code A, the joint RMSE-L1 MANOVA produced Pillai = 0.014051 and approximate F = 709.1 for method, with p &lt; 2.2e-16. The corresponding metric-specific method F statistics were approximately 1,407 for RMSE, 1,405 for L1, and 1,417 for Linf. Code B likewise found a strong method effect after adjustment for the common simplex environment (F = 425.38, p &lt; 2.2e-16), together with a method-by-metric interaction (F = 249.07, p &lt; 2.2e-16). The interaction indicates that the size of method separation changes across the three metrics, although the ordering remains broadly stable.</w:t>
      </w:r>
    </w:p>
    <w:p>
      <w:pPr>
        <w:pStyle w:val="NormalWeb"/>
      </w:pPr>
      <w:r>
        <w:rPr>
          <w:rFonts w:ascii="Times New Roman" w:hAnsi="Times New Roman"/>
        </w:rPr>
        <w:t>Code C1 strengthens this conclusion by using paired differences within 16,038 simulation environments. Every pairwise multivariate comparison was statistically significant. The paired design also clarifies practical magnitude: the leading methods improve error by roughly 17%-18% relative to method ii and by roughly 6%-7% relative to method i, whereas differences within the leading group are generally below 1%. Thus, the primary scientific result is not simply that all five methods are detectably different in a very large simulation; it is that the estimators separate into a leading group, an intermediate method, and a clearly inferior method.</w:t>
      </w:r>
    </w:p>
    <w:p>
      <w:pPr>
        <w:pStyle w:val="Heading2"/>
        <w:keepNext/>
      </w:pPr>
      <w:r>
        <w:rPr>
          <w:rFonts w:ascii="Times New Roman" w:hAnsi="Times New Roman"/>
        </w:rPr>
        <w:t>3. Hierarchy of experimental factor effects</w:t>
      </w:r>
    </w:p>
    <w:p>
      <w:pPr>
        <w:pStyle w:val="NormalWeb"/>
      </w:pPr>
      <w:r>
        <w:rPr>
          <w:rFonts w:ascii="Times New Roman" w:hAnsi="Times New Roman"/>
        </w:rPr>
        <w:t>Dispersion is the dominant experimental determinant of accuracy, and the number of sampled groups is consistently second. Code A estimated mean partial eta squared values across the three metrics of 0.1868 for sigma and 0.0892 for G, compared with 0.0139 for method. Code B reached the same ordering using F statistics: sigma had F = 12,047 and G had F = 5,123, while the method effect had F = 425. Because the data sets are extremely large, effect size and relative F magnitude provide more useful guides to practical importance than statistical significance alone.</w:t>
      </w:r>
    </w:p>
    <w:p>
      <w:pPr>
        <w:pStyle w:val="NormalWeb"/>
      </w:pPr>
      <w:r>
        <w:rPr>
          <w:rFonts w:ascii="Times New Roman" w:hAnsi="Times New Roman"/>
        </w:rPr>
        <w:t>Higher sigma increases estimation error, whereas increasing G from 2 to 8 markedly reduces error. Increasing mean sample size also reduces error, but its effect is substantially smaller than that of sigma or G. Sampling-distribution design matters as well: the Lognormal block has higher average error than the Poisson and Negative binomial blocks. Theta_true and the linear p1 and p2 terms have little direct influence in Codes A, B, and C2. This weak linear evidence must not be interpreted as absence of composition-location effects, because Code E detects systematic nonlinear variation across the simplex.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00"/>
        <w:gridCol w:w="3600"/>
        <w:gridCol w:w="3600"/>
      </w:tblGrid>
      <w:tr>
        <w:trPr>
          <w:tblHeader w:val="true"/>
        </w:trPr>
        <w:tc>
          <w:tcPr>
            <w:tcW w:type="dxa" w:w="2088"/>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8"/>
              </w:rPr>
              <w:t>Factor or interaction</w:t>
            </w:r>
          </w:p>
        </w:tc>
        <w:tc>
          <w:tcPr>
            <w:tcW w:type="dxa" w:w="3960"/>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8"/>
              </w:rPr>
              <w:t>Integrated evidence</w:t>
            </w:r>
          </w:p>
        </w:tc>
        <w:tc>
          <w:tcPr>
            <w:tcW w:type="dxa" w:w="4680"/>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8"/>
              </w:rPr>
              <w:t>Interpretation for accuracy</w:t>
            </w:r>
          </w:p>
        </w:tc>
      </w:tr>
      <w:tr>
        <w:tc>
          <w:tcPr>
            <w:tcW w:type="dxa" w:w="2088"/>
            <w:vAlign w:val="center"/>
            <w:tcMar>
              <w:top w:w="90" w:type="dxa"/>
              <w:start w:w="100" w:type="dxa"/>
              <w:bottom w:w="90" w:type="dxa"/>
              <w:end w:w="100" w:type="dxa"/>
            </w:tcMar>
          </w:tcPr>
          <w:p>
            <w:pPr>
              <w:spacing w:before="0" w:after="0" w:line="240" w:lineRule="auto"/>
              <w:jc w:val="left"/>
            </w:pPr>
            <w:r>
              <w:rPr>
                <w:rFonts w:ascii="Times New Roman" w:hAnsi="Times New Roman"/>
                <w:sz w:val="18"/>
              </w:rPr>
              <w:t>sigma</w:t>
            </w:r>
          </w:p>
        </w:tc>
        <w:tc>
          <w:tcPr>
            <w:tcW w:type="dxa" w:w="3960"/>
            <w:vAlign w:val="center"/>
            <w:tcMar>
              <w:top w:w="90" w:type="dxa"/>
              <w:start w:w="100" w:type="dxa"/>
              <w:bottom w:w="90" w:type="dxa"/>
              <w:end w:w="100" w:type="dxa"/>
            </w:tcMar>
          </w:tcPr>
          <w:p>
            <w:pPr>
              <w:spacing w:before="0" w:after="0" w:line="240" w:lineRule="auto"/>
              <w:jc w:val="left"/>
            </w:pPr>
            <w:r>
              <w:rPr>
                <w:rFonts w:ascii="Times New Roman" w:hAnsi="Times New Roman"/>
                <w:sz w:val="18"/>
              </w:rPr>
              <w:t>Largest experimental effect in A, B, and C2; mean partial eta squared = 0.1868 in A.</w:t>
            </w:r>
          </w:p>
        </w:tc>
        <w:tc>
          <w:tcPr>
            <w:tcW w:type="dxa" w:w="4680"/>
            <w:vAlign w:val="center"/>
            <w:tcMar>
              <w:top w:w="90" w:type="dxa"/>
              <w:start w:w="100" w:type="dxa"/>
              <w:bottom w:w="90" w:type="dxa"/>
              <w:end w:w="100" w:type="dxa"/>
            </w:tcMar>
          </w:tcPr>
          <w:p>
            <w:pPr>
              <w:spacing w:before="0" w:after="0" w:line="240" w:lineRule="auto"/>
              <w:jc w:val="left"/>
            </w:pPr>
            <w:r>
              <w:rPr>
                <w:rFonts w:ascii="Times New Roman" w:hAnsi="Times New Roman"/>
                <w:sz w:val="18"/>
              </w:rPr>
              <w:t>Higher dispersion raises error and changes relative method performance more than any other experimental factor.</w:t>
            </w:r>
          </w:p>
        </w:tc>
      </w:tr>
      <w:tr>
        <w:tc>
          <w:tcPr>
            <w:tcW w:type="dxa" w:w="2088"/>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G</w:t>
            </w:r>
          </w:p>
        </w:tc>
        <w:tc>
          <w:tcPr>
            <w:tcW w:type="dxa" w:w="396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Second-largest experimental effect; mean partial eta squared = 0.0892 in A.</w:t>
            </w:r>
          </w:p>
        </w:tc>
        <w:tc>
          <w:tcPr>
            <w:tcW w:type="dxa" w:w="468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More sampled groups substantially improve RMSE, L1, and Linf, although methods do not benefit equally.</w:t>
            </w:r>
          </w:p>
        </w:tc>
      </w:tr>
      <w:tr>
        <w:tc>
          <w:tcPr>
            <w:tcW w:type="dxa" w:w="2088"/>
            <w:vAlign w:val="center"/>
            <w:tcMar>
              <w:top w:w="90" w:type="dxa"/>
              <w:start w:w="100" w:type="dxa"/>
              <w:bottom w:w="90" w:type="dxa"/>
              <w:end w:w="100" w:type="dxa"/>
            </w:tcMar>
          </w:tcPr>
          <w:p>
            <w:pPr>
              <w:spacing w:before="0" w:after="0" w:line="240" w:lineRule="auto"/>
              <w:jc w:val="left"/>
            </w:pPr>
            <w:r>
              <w:rPr>
                <w:rFonts w:ascii="Times New Roman" w:hAnsi="Times New Roman"/>
                <w:sz w:val="18"/>
              </w:rPr>
              <w:t>method</w:t>
            </w:r>
          </w:p>
        </w:tc>
        <w:tc>
          <w:tcPr>
            <w:tcW w:type="dxa" w:w="3960"/>
            <w:vAlign w:val="center"/>
            <w:tcMar>
              <w:top w:w="90" w:type="dxa"/>
              <w:start w:w="100" w:type="dxa"/>
              <w:bottom w:w="90" w:type="dxa"/>
              <w:end w:w="100" w:type="dxa"/>
            </w:tcMar>
          </w:tcPr>
          <w:p>
            <w:pPr>
              <w:spacing w:before="0" w:after="0" w:line="240" w:lineRule="auto"/>
              <w:jc w:val="left"/>
            </w:pPr>
            <w:r>
              <w:rPr>
                <w:rFonts w:ascii="Times New Roman" w:hAnsi="Times New Roman"/>
                <w:sz w:val="18"/>
              </w:rPr>
              <w:t>Highly significant in A and B; mean partial eta squared = 0.0139 in A.</w:t>
            </w:r>
          </w:p>
        </w:tc>
        <w:tc>
          <w:tcPr>
            <w:tcW w:type="dxa" w:w="4680"/>
            <w:vAlign w:val="center"/>
            <w:tcMar>
              <w:top w:w="90" w:type="dxa"/>
              <w:start w:w="100" w:type="dxa"/>
              <w:bottom w:w="90" w:type="dxa"/>
              <w:end w:w="100" w:type="dxa"/>
            </w:tcMar>
          </w:tcPr>
          <w:p>
            <w:pPr>
              <w:spacing w:before="0" w:after="0" w:line="240" w:lineRule="auto"/>
              <w:jc w:val="left"/>
            </w:pPr>
            <w:r>
              <w:rPr>
                <w:rFonts w:ascii="Times New Roman" w:hAnsi="Times New Roman"/>
                <w:sz w:val="18"/>
              </w:rPr>
              <w:t>Estimator choice matters, but less than dispersion and the number of groups.</w:t>
            </w:r>
          </w:p>
        </w:tc>
      </w:tr>
      <w:tr>
        <w:tc>
          <w:tcPr>
            <w:tcW w:type="dxa" w:w="2088"/>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method by sigma</w:t>
            </w:r>
          </w:p>
        </w:tc>
        <w:tc>
          <w:tcPr>
            <w:tcW w:type="dxa" w:w="396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Largest method-dependent interaction in A, B, and C2; mean partial eta squared = 0.0083 in A.</w:t>
            </w:r>
          </w:p>
        </w:tc>
        <w:tc>
          <w:tcPr>
            <w:tcW w:type="dxa" w:w="468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The global ranking is conditional on dispersion; method i becomes competitive at high sigma.</w:t>
            </w:r>
          </w:p>
        </w:tc>
      </w:tr>
      <w:tr>
        <w:tc>
          <w:tcPr>
            <w:tcW w:type="dxa" w:w="2088"/>
            <w:vAlign w:val="center"/>
            <w:tcMar>
              <w:top w:w="90" w:type="dxa"/>
              <w:start w:w="100" w:type="dxa"/>
              <w:bottom w:w="90" w:type="dxa"/>
              <w:end w:w="100" w:type="dxa"/>
            </w:tcMar>
          </w:tcPr>
          <w:p>
            <w:pPr>
              <w:spacing w:before="0" w:after="0" w:line="240" w:lineRule="auto"/>
              <w:jc w:val="left"/>
            </w:pPr>
            <w:r>
              <w:rPr>
                <w:rFonts w:ascii="Times New Roman" w:hAnsi="Times New Roman"/>
                <w:sz w:val="18"/>
              </w:rPr>
              <w:t>design block</w:t>
            </w:r>
          </w:p>
        </w:tc>
        <w:tc>
          <w:tcPr>
            <w:tcW w:type="dxa" w:w="3960"/>
            <w:vAlign w:val="center"/>
            <w:tcMar>
              <w:top w:w="90" w:type="dxa"/>
              <w:start w:w="100" w:type="dxa"/>
              <w:bottom w:w="90" w:type="dxa"/>
              <w:end w:w="100" w:type="dxa"/>
            </w:tcMar>
          </w:tcPr>
          <w:p>
            <w:pPr>
              <w:spacing w:before="0" w:after="0" w:line="240" w:lineRule="auto"/>
              <w:jc w:val="left"/>
            </w:pPr>
            <w:r>
              <w:rPr>
                <w:rFonts w:ascii="Times New Roman" w:hAnsi="Times New Roman"/>
                <w:sz w:val="18"/>
              </w:rPr>
              <w:t>Smaller but consistent main and pairwise-gap effect.</w:t>
            </w:r>
          </w:p>
        </w:tc>
        <w:tc>
          <w:tcPr>
            <w:tcW w:type="dxa" w:w="4680"/>
            <w:vAlign w:val="center"/>
            <w:tcMar>
              <w:top w:w="90" w:type="dxa"/>
              <w:start w:w="100" w:type="dxa"/>
              <w:bottom w:w="90" w:type="dxa"/>
              <w:end w:w="100" w:type="dxa"/>
            </w:tcMar>
          </w:tcPr>
          <w:p>
            <w:pPr>
              <w:spacing w:before="0" w:after="0" w:line="240" w:lineRule="auto"/>
              <w:jc w:val="left"/>
            </w:pPr>
            <w:r>
              <w:rPr>
                <w:rFonts w:ascii="Times New Roman" w:hAnsi="Times New Roman"/>
                <w:sz w:val="18"/>
              </w:rPr>
              <w:t>Lognormal cases are generally harder than Poisson or Negative binomial cases.</w:t>
            </w:r>
          </w:p>
        </w:tc>
      </w:tr>
      <w:tr>
        <w:tc>
          <w:tcPr>
            <w:tcW w:type="dxa" w:w="2088"/>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mean sample size</w:t>
            </w:r>
          </w:p>
        </w:tc>
        <w:tc>
          <w:tcPr>
            <w:tcW w:type="dxa" w:w="396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Significant but modest main effect; clearer modifier of some pairwise gaps.</w:t>
            </w:r>
          </w:p>
        </w:tc>
        <w:tc>
          <w:tcPr>
            <w:tcW w:type="dxa" w:w="468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Larger samples lower error, but less strongly than increasing G or reducing sigma.</w:t>
            </w:r>
          </w:p>
        </w:tc>
      </w:tr>
      <w:tr>
        <w:tc>
          <w:tcPr>
            <w:tcW w:type="dxa" w:w="2088"/>
            <w:vAlign w:val="center"/>
            <w:tcMar>
              <w:top w:w="90" w:type="dxa"/>
              <w:start w:w="100" w:type="dxa"/>
              <w:bottom w:w="90" w:type="dxa"/>
              <w:end w:w="100" w:type="dxa"/>
            </w:tcMar>
          </w:tcPr>
          <w:p>
            <w:pPr>
              <w:spacing w:before="0" w:after="0" w:line="240" w:lineRule="auto"/>
              <w:jc w:val="left"/>
            </w:pPr>
            <w:r>
              <w:rPr>
                <w:rFonts w:ascii="Times New Roman" w:hAnsi="Times New Roman"/>
                <w:sz w:val="18"/>
              </w:rPr>
              <w:t>theta_true, p1, and p2</w:t>
            </w:r>
          </w:p>
        </w:tc>
        <w:tc>
          <w:tcPr>
            <w:tcW w:type="dxa" w:w="3960"/>
            <w:vAlign w:val="center"/>
            <w:tcMar>
              <w:top w:w="90" w:type="dxa"/>
              <w:start w:w="100" w:type="dxa"/>
              <w:bottom w:w="90" w:type="dxa"/>
              <w:end w:w="100" w:type="dxa"/>
            </w:tcMar>
          </w:tcPr>
          <w:p>
            <w:pPr>
              <w:spacing w:before="0" w:after="0" w:line="240" w:lineRule="auto"/>
              <w:jc w:val="left"/>
            </w:pPr>
            <w:r>
              <w:rPr>
                <w:rFonts w:ascii="Times New Roman" w:hAnsi="Times New Roman"/>
                <w:sz w:val="18"/>
              </w:rPr>
              <w:t>Negligible or weak as linear terms; isolated small interactions.</w:t>
            </w:r>
          </w:p>
        </w:tc>
        <w:tc>
          <w:tcPr>
            <w:tcW w:type="dxa" w:w="4680"/>
            <w:vAlign w:val="center"/>
            <w:tcMar>
              <w:top w:w="90" w:type="dxa"/>
              <w:start w:w="100" w:type="dxa"/>
              <w:bottom w:w="90" w:type="dxa"/>
              <w:end w:w="100" w:type="dxa"/>
            </w:tcMar>
          </w:tcPr>
          <w:p>
            <w:pPr>
              <w:spacing w:before="0" w:after="0" w:line="240" w:lineRule="auto"/>
              <w:jc w:val="left"/>
            </w:pPr>
            <w:r>
              <w:rPr>
                <w:rFonts w:ascii="Times New Roman" w:hAnsi="Times New Roman"/>
                <w:sz w:val="18"/>
              </w:rPr>
              <w:t>No important linear main effect, but nonlinear simplex location remains relevant.</w:t>
            </w:r>
          </w:p>
        </w:tc>
      </w:tr>
    </w:tbl>
    <w:p>
      <w:pPr>
        <w:pStyle w:val="NormalWeb"/>
        <w:spacing w:after="0"/>
      </w:pPr>
    </w:p>
    <w:p>
      <w:pPr>
        <w:pStyle w:val="Heading2"/>
        <w:keepNext/>
      </w:pPr>
      <w:r>
        <w:rPr>
          <w:rFonts w:ascii="Times New Roman" w:hAnsi="Times New Roman"/>
        </w:rPr>
        <w:t>4. RMSE results</w:t>
      </w:r>
    </w:p>
    <w:p>
      <w:pPr>
        <w:pStyle w:val="NormalWeb"/>
      </w:pPr>
      <w:r>
        <w:rPr>
          <w:rFonts w:ascii="Times New Roman" w:hAnsi="Times New Roman"/>
        </w:rPr>
        <w:t>RMSE yields the same broad method hierarchy as the integrated analysis. In Code B, the adjusted RMSE estimates were 0.06737 for method iii, 0.06743 for v, 0.06795 for iv, followed by higher errors for i and ii. After Holm adjustment, iii, v, and iv were statistically indistinguishable for RMSE. Code A produced slightly different adjusted values because it used a different model specification, but the ordering was identical: iii = 0.06969, v = 0.06975, iv = 0.07031, i = 0.07798, and ii = 0.08647. The estimates should be compared within each analysis rather than pooled across models.</w:t>
      </w:r>
    </w:p>
    <w:p>
      <w:pPr>
        <w:pStyle w:val="NormalWeb"/>
      </w:pPr>
      <w:r>
        <w:rPr>
          <w:rFonts w:ascii="Times New Roman" w:hAnsi="Times New Roman"/>
        </w:rPr>
        <w:t>The RMSE factor results show that sigma is the primary source of variation and G is second. Code A reported F = 44,388 for sigma and F = 19,019 for G, compared with F = 1,407 for method. Higher dispersion raises RMSE, while more sampled groups and larger mean samples reduce it. Design block also matters, with Lognormal sampling producing greater error on average. The largest method-dependent effect is method by sigma, demonstrating that average RMSE rankings do not fully describe performance at each dispersion level.</w:t>
      </w:r>
    </w:p>
    <w:p>
      <w:pPr>
        <w:pStyle w:val="NormalWeb"/>
      </w:pPr>
      <w:r>
        <w:rPr>
          <w:rFonts w:ascii="Times New Roman" w:hAnsi="Times New Roman"/>
        </w:rPr>
        <w:t>The paired Code C1 results give the RMSE differences practical meaning. Relative to method ii, method iii reduces RMSE by about 17.86%, method v by about 17.61%, and method iv by about 17.11%. Relative to method i, the reductions are approximately 6.50% for iii and about 6.2% and 5.6% for v and iv, respectively. The RMSE difference between iii and v is only about 0.3%-0.4%, confirming that their practical performance is nearly equivalent despite the strict overall ordering.</w:t>
      </w:r>
    </w:p>
    <w:p>
      <w:pPr>
        <w:pStyle w:val="NormalWeb"/>
      </w:pPr>
      <w:r>
        <w:rPr>
          <w:rFonts w:ascii="Times New Roman" w:hAnsi="Times New Roman"/>
        </w:rPr>
        <w:t>Code E shows that RMSE differences between iii and v are spatially structured. Under the representative prediction settings, v has lower predicted RMSE than iii over 75.1% of simplex grid cells, primarily in a broad central region. This local advantage is small relative to total variability and does not overturn iii as the best global method, because the global comparisons average over all design blocks, dispersion levels, sample sizes, and simplex locations.</w:t>
      </w:r>
    </w:p>
    <w:p>
      <w:pPr>
        <w:pStyle w:val="Heading2"/>
        <w:keepNext/>
      </w:pPr>
      <w:r>
        <w:rPr>
          <w:rFonts w:ascii="Times New Roman" w:hAnsi="Times New Roman"/>
        </w:rPr>
        <w:t>5. L1 results</w:t>
      </w:r>
    </w:p>
    <w:p>
      <w:pPr>
        <w:pStyle w:val="NormalWeb"/>
      </w:pPr>
      <w:r>
        <w:rPr>
          <w:rFonts w:ascii="Times New Roman" w:hAnsi="Times New Roman"/>
        </w:rPr>
        <w:t>L1 provides the clearest statistical separation within the leading group. Code B estimated adjusted L1 values of 0.16725 for iii, 0.16760 for v, and 0.16872 for iv. Method iii and method v were each significantly better than iv after Holm adjustment, whereas iii and v remained statistically indistinguishable in the global mixed-model comparison. Code A again gave the same ordering, with estimates of 0.18205, 0.18247, 0.18379, 0.20234, and 0.22407 for iii, v, iv, i, and ii, respectively.</w:t>
      </w:r>
    </w:p>
    <w:p>
      <w:pPr>
        <w:pStyle w:val="NormalWeb"/>
      </w:pPr>
      <w:r>
        <w:rPr>
          <w:rFonts w:ascii="Times New Roman" w:hAnsi="Times New Roman"/>
        </w:rPr>
        <w:t>The experimental-factor hierarchy for L1 is nearly identical to that for RMSE. Code A reported F = 48,575 for sigma, F = 20,538 for G, and F = 1,405 for method. These are the largest factor effects among the three metric-specific ANOVAs, but their relative ordering is unchanged. L1 decreases with more groups and larger mean samples, increases with dispersion, and is higher in the Lognormal design block. Method by sigma is again the dominant interaction, with secondary method interactions involving G, mean sample size, and design block.</w:t>
      </w:r>
    </w:p>
    <w:p>
      <w:pPr>
        <w:pStyle w:val="NormalWeb"/>
      </w:pPr>
      <w:r>
        <w:rPr>
          <w:rFonts w:ascii="Times New Roman" w:hAnsi="Times New Roman"/>
        </w:rPr>
        <w:t>The C1 comparisons show that method iii reduces L1 error by approximately 17.88% relative to ii and 6.68% relative to i. Methods v and iv yield reductions of about 17.57% and 17.11% relative to ii and about 6.3% and 5.8% relative to i. Differences within the leading group remain small: iii is only about 0.3%-0.4% better than v, and v is about 0.5%-0.6% better than iv. Code E finds the largest absolute iii-versus-v difference surface for L1, but v still has lower predicted L1 in 68.5% of representative grid cells, primarily within the central simplex.</w:t>
      </w:r>
    </w:p>
    <w:p>
      <w:pPr>
        <w:pStyle w:val="Heading2"/>
        <w:keepNext/>
      </w:pPr>
      <w:r>
        <w:rPr>
          <w:rFonts w:ascii="Times New Roman" w:hAnsi="Times New Roman"/>
        </w:rPr>
        <w:t>6. Linf results</w:t>
      </w:r>
    </w:p>
    <w:p>
      <w:pPr>
        <w:pStyle w:val="NormalWeb"/>
      </w:pPr>
      <w:r>
        <w:rPr>
          <w:rFonts w:ascii="Times New Roman" w:hAnsi="Times New Roman"/>
        </w:rPr>
        <w:t>Linf evaluates the largest componentwise error and therefore provides the strongest check against a method that performs acceptably on average but fails for individual proportions. No such reversal occurs. Code B estimated Linf values of 0.08894 for iii, 0.08913 for v, and 0.08975 for iv; these three estimates were statistically indistinguishable after Holm adjustment. Code A estimated 0.09302 for iii, 0.09322 for v, 0.09390 for iv, 0.10426 for i, and 0.11522 for ii. Consequently, method ii is not only poor under aggregate-error criteria but also has the worst maximum-component error.</w:t>
      </w:r>
    </w:p>
    <w:p>
      <w:pPr>
        <w:pStyle w:val="NormalWeb"/>
      </w:pPr>
      <w:r>
        <w:rPr>
          <w:rFonts w:ascii="Times New Roman" w:hAnsi="Times New Roman"/>
        </w:rPr>
        <w:t>The Linf factor results mirror RMSE and L1. Code A reported F = 45,218 for sigma, F = 19,321 for G, and F = 1,417 for method. Higher sigma increases worst-component error, whereas more groups and larger mean samples reduce it. Design block and the method-by-sigma interaction remain important, while theta_true and linear p1 and p2 effects are negligible. The consistency of these results shows that the dominant factor conclusions do not depend on whether accuracy is defined by average squared deviation, total absolute deviation, or the worst component.</w:t>
      </w:r>
    </w:p>
    <w:p>
      <w:pPr>
        <w:pStyle w:val="NormalWeb"/>
      </w:pPr>
      <w:r>
        <w:rPr>
          <w:rFonts w:ascii="Times New Roman" w:hAnsi="Times New Roman"/>
        </w:rPr>
        <w:t>The paired reductions for Linf are also comparable with those for RMSE and L1. Method iii improves on ii by about 17.88% and on i by about 6.68%; v and iv provide slightly smaller but still substantial reductions. Method iii exceeds v by only about 0.3%-0.4%, and v exceeds iv by about 0.5%-0.6%. In the signed GAM, method v has lower predicted Linf than iii over 68.9% of the representative simplex grid, again concentrated in the central region.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00"/>
        <w:gridCol w:w="2700"/>
        <w:gridCol w:w="2700"/>
        <w:gridCol w:w="2700"/>
      </w:tblGrid>
      <w:tr>
        <w:trPr>
          <w:tblHeader w:val="true"/>
        </w:trPr>
        <w:tc>
          <w:tcPr>
            <w:tcW w:type="dxa" w:w="1080"/>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8"/>
              </w:rPr>
              <w:t>Metric</w:t>
            </w:r>
          </w:p>
        </w:tc>
        <w:tc>
          <w:tcPr>
            <w:tcW w:type="dxa" w:w="2952"/>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8"/>
              </w:rPr>
              <w:t>Leading adjusted estimates from Code B</w:t>
            </w:r>
          </w:p>
        </w:tc>
        <w:tc>
          <w:tcPr>
            <w:tcW w:type="dxa" w:w="3240"/>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8"/>
              </w:rPr>
              <w:t>Dominant factors</w:t>
            </w:r>
          </w:p>
        </w:tc>
        <w:tc>
          <w:tcPr>
            <w:tcW w:type="dxa" w:w="3456"/>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8"/>
              </w:rPr>
              <w:t>Metric-specific conclusion</w:t>
            </w:r>
          </w:p>
        </w:tc>
      </w:tr>
      <w:tr>
        <w:tc>
          <w:tcPr>
            <w:tcW w:type="dxa" w:w="1080"/>
            <w:vAlign w:val="center"/>
            <w:tcMar>
              <w:top w:w="90" w:type="dxa"/>
              <w:start w:w="100" w:type="dxa"/>
              <w:bottom w:w="90" w:type="dxa"/>
              <w:end w:w="100" w:type="dxa"/>
            </w:tcMar>
          </w:tcPr>
          <w:p>
            <w:pPr>
              <w:spacing w:before="0" w:after="0" w:line="240" w:lineRule="auto"/>
              <w:jc w:val="left"/>
            </w:pPr>
            <w:r>
              <w:rPr>
                <w:rFonts w:ascii="Times New Roman" w:hAnsi="Times New Roman"/>
                <w:sz w:val="18"/>
              </w:rPr>
              <w:t>RMSE</w:t>
            </w:r>
          </w:p>
        </w:tc>
        <w:tc>
          <w:tcPr>
            <w:tcW w:type="dxa" w:w="2952"/>
            <w:vAlign w:val="center"/>
            <w:tcMar>
              <w:top w:w="90" w:type="dxa"/>
              <w:start w:w="100" w:type="dxa"/>
              <w:bottom w:w="90" w:type="dxa"/>
              <w:end w:w="100" w:type="dxa"/>
            </w:tcMar>
          </w:tcPr>
          <w:p>
            <w:pPr>
              <w:spacing w:before="0" w:after="0" w:line="240" w:lineRule="auto"/>
              <w:jc w:val="left"/>
            </w:pPr>
            <w:r>
              <w:rPr>
                <w:rFonts w:ascii="Times New Roman" w:hAnsi="Times New Roman"/>
                <w:sz w:val="18"/>
              </w:rPr>
              <w:t>iii 0.06737; v 0.06743; iv 0.06795</w:t>
            </w:r>
          </w:p>
        </w:tc>
        <w:tc>
          <w:tcPr>
            <w:tcW w:type="dxa" w:w="3240"/>
            <w:vAlign w:val="center"/>
            <w:tcMar>
              <w:top w:w="90" w:type="dxa"/>
              <w:start w:w="100" w:type="dxa"/>
              <w:bottom w:w="90" w:type="dxa"/>
              <w:end w:w="100" w:type="dxa"/>
            </w:tcMar>
          </w:tcPr>
          <w:p>
            <w:pPr>
              <w:spacing w:before="0" w:after="0" w:line="240" w:lineRule="auto"/>
              <w:jc w:val="left"/>
            </w:pPr>
            <w:r>
              <w:rPr>
                <w:rFonts w:ascii="Times New Roman" w:hAnsi="Times New Roman"/>
                <w:sz w:val="18"/>
              </w:rPr>
              <w:t>sigma, then G; method by sigma is the main interaction</w:t>
            </w:r>
          </w:p>
        </w:tc>
        <w:tc>
          <w:tcPr>
            <w:tcW w:type="dxa" w:w="3456"/>
            <w:vAlign w:val="center"/>
            <w:tcMar>
              <w:top w:w="90" w:type="dxa"/>
              <w:start w:w="100" w:type="dxa"/>
              <w:bottom w:w="90" w:type="dxa"/>
              <w:end w:w="100" w:type="dxa"/>
            </w:tcMar>
          </w:tcPr>
          <w:p>
            <w:pPr>
              <w:spacing w:before="0" w:after="0" w:line="240" w:lineRule="auto"/>
              <w:jc w:val="left"/>
            </w:pPr>
            <w:r>
              <w:rPr>
                <w:rFonts w:ascii="Times New Roman" w:hAnsi="Times New Roman"/>
                <w:sz w:val="18"/>
              </w:rPr>
              <w:t>iii, v, and iv are statistically indistinguishable; iii is numerically lowest.</w:t>
            </w:r>
          </w:p>
        </w:tc>
      </w:tr>
      <w:tr>
        <w:tc>
          <w:tcPr>
            <w:tcW w:type="dxa" w:w="108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L1</w:t>
            </w:r>
          </w:p>
        </w:tc>
        <w:tc>
          <w:tcPr>
            <w:tcW w:type="dxa" w:w="2952"/>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iii 0.16725; v 0.16760; iv 0.16872</w:t>
            </w:r>
          </w:p>
        </w:tc>
        <w:tc>
          <w:tcPr>
            <w:tcW w:type="dxa" w:w="324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sigma, then G; method by sigma is the main interaction</w:t>
            </w:r>
          </w:p>
        </w:tc>
        <w:tc>
          <w:tcPr>
            <w:tcW w:type="dxa" w:w="3456"/>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8"/>
              </w:rPr>
              <w:t>iii and v lead; L1 significantly separates iv from iii and v.</w:t>
            </w:r>
          </w:p>
        </w:tc>
      </w:tr>
      <w:tr>
        <w:tc>
          <w:tcPr>
            <w:tcW w:type="dxa" w:w="1080"/>
            <w:vAlign w:val="center"/>
            <w:tcMar>
              <w:top w:w="90" w:type="dxa"/>
              <w:start w:w="100" w:type="dxa"/>
              <w:bottom w:w="90" w:type="dxa"/>
              <w:end w:w="100" w:type="dxa"/>
            </w:tcMar>
          </w:tcPr>
          <w:p>
            <w:pPr>
              <w:spacing w:before="0" w:after="0" w:line="240" w:lineRule="auto"/>
              <w:jc w:val="left"/>
            </w:pPr>
            <w:r>
              <w:rPr>
                <w:rFonts w:ascii="Times New Roman" w:hAnsi="Times New Roman"/>
                <w:sz w:val="18"/>
              </w:rPr>
              <w:t>Linf</w:t>
            </w:r>
          </w:p>
        </w:tc>
        <w:tc>
          <w:tcPr>
            <w:tcW w:type="dxa" w:w="2952"/>
            <w:vAlign w:val="center"/>
            <w:tcMar>
              <w:top w:w="90" w:type="dxa"/>
              <w:start w:w="100" w:type="dxa"/>
              <w:bottom w:w="90" w:type="dxa"/>
              <w:end w:w="100" w:type="dxa"/>
            </w:tcMar>
          </w:tcPr>
          <w:p>
            <w:pPr>
              <w:spacing w:before="0" w:after="0" w:line="240" w:lineRule="auto"/>
              <w:jc w:val="left"/>
            </w:pPr>
            <w:r>
              <w:rPr>
                <w:rFonts w:ascii="Times New Roman" w:hAnsi="Times New Roman"/>
                <w:sz w:val="18"/>
              </w:rPr>
              <w:t>iii 0.08894; v 0.08913; iv 0.08975</w:t>
            </w:r>
          </w:p>
        </w:tc>
        <w:tc>
          <w:tcPr>
            <w:tcW w:type="dxa" w:w="3240"/>
            <w:vAlign w:val="center"/>
            <w:tcMar>
              <w:top w:w="90" w:type="dxa"/>
              <w:start w:w="100" w:type="dxa"/>
              <w:bottom w:w="90" w:type="dxa"/>
              <w:end w:w="100" w:type="dxa"/>
            </w:tcMar>
          </w:tcPr>
          <w:p>
            <w:pPr>
              <w:spacing w:before="0" w:after="0" w:line="240" w:lineRule="auto"/>
              <w:jc w:val="left"/>
            </w:pPr>
            <w:r>
              <w:rPr>
                <w:rFonts w:ascii="Times New Roman" w:hAnsi="Times New Roman"/>
                <w:sz w:val="18"/>
              </w:rPr>
              <w:t>sigma, then G; method by sigma is the main interaction</w:t>
            </w:r>
          </w:p>
        </w:tc>
        <w:tc>
          <w:tcPr>
            <w:tcW w:type="dxa" w:w="3456"/>
            <w:vAlign w:val="center"/>
            <w:tcMar>
              <w:top w:w="90" w:type="dxa"/>
              <w:start w:w="100" w:type="dxa"/>
              <w:bottom w:w="90" w:type="dxa"/>
              <w:end w:w="100" w:type="dxa"/>
            </w:tcMar>
          </w:tcPr>
          <w:p>
            <w:pPr>
              <w:spacing w:before="0" w:after="0" w:line="240" w:lineRule="auto"/>
              <w:jc w:val="left"/>
            </w:pPr>
            <w:r>
              <w:rPr>
                <w:rFonts w:ascii="Times New Roman" w:hAnsi="Times New Roman"/>
                <w:sz w:val="18"/>
              </w:rPr>
              <w:t>iii, v, and iv are statistically indistinguishable; no worst-component reversal occurs.</w:t>
            </w:r>
          </w:p>
        </w:tc>
      </w:tr>
    </w:tbl>
    <w:p>
      <w:pPr>
        <w:pStyle w:val="NormalWeb"/>
        <w:spacing w:after="0"/>
      </w:pPr>
    </w:p>
    <w:p>
      <w:pPr>
        <w:pStyle w:val="Heading2"/>
        <w:keepNext/>
      </w:pPr>
      <w:r>
        <w:rPr>
          <w:rFonts w:ascii="Times New Roman" w:hAnsi="Times New Roman"/>
        </w:rPr>
        <w:t>7. Comparative performance of methods i through v</w:t>
      </w:r>
    </w:p>
    <w:p>
      <w:pPr>
        <w:pStyle w:val="NormalWeb"/>
      </w:pPr>
      <w:r>
        <w:rPr>
          <w:rFonts w:ascii="Times New Roman" w:hAnsi="Times New Roman"/>
        </w:rPr>
        <w:t>Method iii has the strongest overall evidence. It has the lowest adjusted error under every metric in Codes A and B, the largest paired efficiency gains in Code C1, and robust performance across the major factorial conditions. Its numerical advantage over v is small, but the direction is consistent when results are averaged globally. Method iii should therefore be selected when a single method is required and estimation accuracy is the primary criterion.</w:t>
      </w:r>
    </w:p>
    <w:p>
      <w:pPr>
        <w:pStyle w:val="NormalWeb"/>
      </w:pPr>
      <w:r>
        <w:rPr>
          <w:rFonts w:ascii="Times New Roman" w:hAnsi="Times New Roman"/>
        </w:rPr>
        <w:t>Method v is a near-equivalent second choice. Its global error is only about 0.3%-0.4% above method iii in the paired comparisons, and Code B does not distinguish iii and v after Holm adjustment in the global comparison. Code E provides a substantive reason not to regard v as uniformly inferior: v has lower predicted error across a majority of representative simplex grid cells for each metric, especially where all composition components are non-negligible. Method v is therefore a particularly credible alternative for balanced or central-simplex compositions.</w:t>
      </w:r>
    </w:p>
    <w:p>
      <w:pPr>
        <w:pStyle w:val="NormalWeb"/>
      </w:pPr>
      <w:r>
        <w:rPr>
          <w:rFonts w:ascii="Times New Roman" w:hAnsi="Times New Roman"/>
        </w:rPr>
        <w:t>Method iv is also a strong estimator but ranks below iii and v. Its errors are less than 1% above iii in the paired comparisons, and it is statistically indistinguishable from iii and v for RMSE and Linf in Code B. L1, however, significantly separates iv from both iii and v. This repeated small disadvantage supports ranking iv third while recognizing that its practical performance remains close to the leaders.</w:t>
      </w:r>
    </w:p>
    <w:p>
      <w:pPr>
        <w:pStyle w:val="NormalWeb"/>
      </w:pPr>
      <w:r>
        <w:rPr>
          <w:rFonts w:ascii="Times New Roman" w:hAnsi="Times New Roman"/>
        </w:rPr>
        <w:t>Method i occupies an intermediate position. It is consistently less accurate than iii, v, and iv in the global summaries but is clearly better than ii. Code A identifies an important specialization: method i is worst at sigma = 0.25, remains below the leaders at sigma = 0.5, but becomes the best method at sigma = 1. Code E also shows that method i has the largest spatial amplitude across the simplex, indicating greater sensitivity to the true composition. These results make i conditionally useful rather than generally preferable.</w:t>
      </w:r>
    </w:p>
    <w:p>
      <w:pPr>
        <w:pStyle w:val="NormalWeb"/>
      </w:pPr>
      <w:r>
        <w:rPr>
          <w:rFonts w:ascii="Times New Roman" w:hAnsi="Times New Roman"/>
        </w:rPr>
        <w:t>Method ii is consistently the weakest estimator. It has the largest adjusted RMSE, L1, and Linf in Codes A and B, and Codes C1 and C2 provide no evidence of a broadly useful niche. The leading methods reduce error relative to ii by approximately 17%-18% under all three metrics. Method ii should therefore not be selected for general use unless an external consideration, such as computational behavior or a theoretical constraint not assessed in these simulations, outweighs the observed loss in accuracy.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00"/>
        <w:gridCol w:w="2700"/>
        <w:gridCol w:w="2700"/>
        <w:gridCol w:w="2700"/>
      </w:tblGrid>
      <w:tr>
        <w:trPr>
          <w:tblHeader w:val="true"/>
        </w:trPr>
        <w:tc>
          <w:tcPr>
            <w:tcW w:type="dxa" w:w="792"/>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9"/>
              </w:rPr>
              <w:t>Rank</w:t>
            </w:r>
          </w:p>
        </w:tc>
        <w:tc>
          <w:tcPr>
            <w:tcW w:type="dxa" w:w="936"/>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9"/>
              </w:rPr>
              <w:t>Method</w:t>
            </w:r>
          </w:p>
        </w:tc>
        <w:tc>
          <w:tcPr>
            <w:tcW w:type="dxa" w:w="5400"/>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9"/>
              </w:rPr>
              <w:t>Evidence-based assessment</w:t>
            </w:r>
          </w:p>
        </w:tc>
        <w:tc>
          <w:tcPr>
            <w:tcW w:type="dxa" w:w="3960"/>
            <w:vAlign w:val="center"/>
            <w:shd w:fill="D9EAF7"/>
            <w:tcMar>
              <w:top w:w="90" w:type="dxa"/>
              <w:start w:w="100" w:type="dxa"/>
              <w:bottom w:w="90" w:type="dxa"/>
              <w:end w:w="100" w:type="dxa"/>
            </w:tcMar>
          </w:tcPr>
          <w:p>
            <w:pPr>
              <w:spacing w:before="0" w:after="0"/>
              <w:jc w:val="center"/>
            </w:pPr>
            <w:r>
              <w:rPr>
                <w:rFonts w:ascii="Times New Roman" w:hAnsi="Times New Roman"/>
                <w:b/>
                <w:color w:val="000000"/>
                <w:sz w:val="19"/>
              </w:rPr>
              <w:t>Recommended role</w:t>
            </w:r>
          </w:p>
        </w:tc>
      </w:tr>
      <w:tr>
        <w:tc>
          <w:tcPr>
            <w:tcW w:type="dxa" w:w="792"/>
            <w:vAlign w:val="center"/>
            <w:tcMar>
              <w:top w:w="90" w:type="dxa"/>
              <w:start w:w="100" w:type="dxa"/>
              <w:bottom w:w="90" w:type="dxa"/>
              <w:end w:w="100" w:type="dxa"/>
            </w:tcMar>
          </w:tcPr>
          <w:p>
            <w:pPr>
              <w:spacing w:before="0" w:after="0" w:line="240" w:lineRule="auto"/>
              <w:jc w:val="left"/>
            </w:pPr>
            <w:r>
              <w:rPr>
                <w:rFonts w:ascii="Times New Roman" w:hAnsi="Times New Roman"/>
                <w:sz w:val="19"/>
              </w:rPr>
              <w:t>1</w:t>
            </w:r>
          </w:p>
        </w:tc>
        <w:tc>
          <w:tcPr>
            <w:tcW w:type="dxa" w:w="936"/>
            <w:vAlign w:val="center"/>
            <w:tcMar>
              <w:top w:w="90" w:type="dxa"/>
              <w:start w:w="100" w:type="dxa"/>
              <w:bottom w:w="90" w:type="dxa"/>
              <w:end w:w="100" w:type="dxa"/>
            </w:tcMar>
          </w:tcPr>
          <w:p>
            <w:pPr>
              <w:spacing w:before="0" w:after="0" w:line="240" w:lineRule="auto"/>
              <w:jc w:val="left"/>
            </w:pPr>
            <w:r>
              <w:rPr>
                <w:rFonts w:ascii="Times New Roman" w:hAnsi="Times New Roman"/>
                <w:sz w:val="19"/>
              </w:rPr>
              <w:t>iii</w:t>
            </w:r>
          </w:p>
        </w:tc>
        <w:tc>
          <w:tcPr>
            <w:tcW w:type="dxa" w:w="5400"/>
            <w:vAlign w:val="center"/>
            <w:tcMar>
              <w:top w:w="90" w:type="dxa"/>
              <w:start w:w="100" w:type="dxa"/>
              <w:bottom w:w="90" w:type="dxa"/>
              <w:end w:w="100" w:type="dxa"/>
            </w:tcMar>
          </w:tcPr>
          <w:p>
            <w:pPr>
              <w:spacing w:before="0" w:after="0" w:line="240" w:lineRule="auto"/>
              <w:jc w:val="left"/>
            </w:pPr>
            <w:r>
              <w:rPr>
                <w:rFonts w:ascii="Times New Roman" w:hAnsi="Times New Roman"/>
                <w:sz w:val="19"/>
              </w:rPr>
              <w:t>Lowest global RMSE, L1, and Linf; strongest paired efficiency; robust across analyses.</w:t>
            </w:r>
          </w:p>
        </w:tc>
        <w:tc>
          <w:tcPr>
            <w:tcW w:type="dxa" w:w="3960"/>
            <w:vAlign w:val="center"/>
            <w:tcMar>
              <w:top w:w="90" w:type="dxa"/>
              <w:start w:w="100" w:type="dxa"/>
              <w:bottom w:w="90" w:type="dxa"/>
              <w:end w:w="100" w:type="dxa"/>
            </w:tcMar>
          </w:tcPr>
          <w:p>
            <w:pPr>
              <w:spacing w:before="0" w:after="0" w:line="240" w:lineRule="auto"/>
              <w:jc w:val="left"/>
            </w:pPr>
            <w:r>
              <w:rPr>
                <w:rFonts w:ascii="Times New Roman" w:hAnsi="Times New Roman"/>
                <w:sz w:val="19"/>
              </w:rPr>
              <w:t>Preferred default when accuracy is the deciding criterion.</w:t>
            </w:r>
          </w:p>
        </w:tc>
      </w:tr>
      <w:tr>
        <w:tc>
          <w:tcPr>
            <w:tcW w:type="dxa" w:w="792"/>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2</w:t>
            </w:r>
          </w:p>
        </w:tc>
        <w:tc>
          <w:tcPr>
            <w:tcW w:type="dxa" w:w="936"/>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v</w:t>
            </w:r>
          </w:p>
        </w:tc>
        <w:tc>
          <w:tcPr>
            <w:tcW w:type="dxa" w:w="540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Practically tied with iii globally and locally better over much of the central simplex.</w:t>
            </w:r>
          </w:p>
        </w:tc>
        <w:tc>
          <w:tcPr>
            <w:tcW w:type="dxa" w:w="396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Near-equivalent alternative, especially for balanced compositions.</w:t>
            </w:r>
          </w:p>
        </w:tc>
      </w:tr>
      <w:tr>
        <w:tc>
          <w:tcPr>
            <w:tcW w:type="dxa" w:w="792"/>
            <w:vAlign w:val="center"/>
            <w:tcMar>
              <w:top w:w="90" w:type="dxa"/>
              <w:start w:w="100" w:type="dxa"/>
              <w:bottom w:w="90" w:type="dxa"/>
              <w:end w:w="100" w:type="dxa"/>
            </w:tcMar>
          </w:tcPr>
          <w:p>
            <w:pPr>
              <w:spacing w:before="0" w:after="0" w:line="240" w:lineRule="auto"/>
              <w:jc w:val="left"/>
            </w:pPr>
            <w:r>
              <w:rPr>
                <w:rFonts w:ascii="Times New Roman" w:hAnsi="Times New Roman"/>
                <w:sz w:val="19"/>
              </w:rPr>
              <w:t>3</w:t>
            </w:r>
          </w:p>
        </w:tc>
        <w:tc>
          <w:tcPr>
            <w:tcW w:type="dxa" w:w="936"/>
            <w:vAlign w:val="center"/>
            <w:tcMar>
              <w:top w:w="90" w:type="dxa"/>
              <w:start w:w="100" w:type="dxa"/>
              <w:bottom w:w="90" w:type="dxa"/>
              <w:end w:w="100" w:type="dxa"/>
            </w:tcMar>
          </w:tcPr>
          <w:p>
            <w:pPr>
              <w:spacing w:before="0" w:after="0" w:line="240" w:lineRule="auto"/>
              <w:jc w:val="left"/>
            </w:pPr>
            <w:r>
              <w:rPr>
                <w:rFonts w:ascii="Times New Roman" w:hAnsi="Times New Roman"/>
                <w:sz w:val="19"/>
              </w:rPr>
              <w:t>iv</w:t>
            </w:r>
          </w:p>
        </w:tc>
        <w:tc>
          <w:tcPr>
            <w:tcW w:type="dxa" w:w="5400"/>
            <w:vAlign w:val="center"/>
            <w:tcMar>
              <w:top w:w="90" w:type="dxa"/>
              <w:start w:w="100" w:type="dxa"/>
              <w:bottom w:w="90" w:type="dxa"/>
              <w:end w:w="100" w:type="dxa"/>
            </w:tcMar>
          </w:tcPr>
          <w:p>
            <w:pPr>
              <w:spacing w:before="0" w:after="0" w:line="240" w:lineRule="auto"/>
              <w:jc w:val="left"/>
            </w:pPr>
            <w:r>
              <w:rPr>
                <w:rFonts w:ascii="Times New Roman" w:hAnsi="Times New Roman"/>
                <w:sz w:val="19"/>
              </w:rPr>
              <w:t>Within 1% of iii in paired results; slightly weaker, with clearest deficit under L1.</w:t>
            </w:r>
          </w:p>
        </w:tc>
        <w:tc>
          <w:tcPr>
            <w:tcW w:type="dxa" w:w="3960"/>
            <w:vAlign w:val="center"/>
            <w:tcMar>
              <w:top w:w="90" w:type="dxa"/>
              <w:start w:w="100" w:type="dxa"/>
              <w:bottom w:w="90" w:type="dxa"/>
              <w:end w:w="100" w:type="dxa"/>
            </w:tcMar>
          </w:tcPr>
          <w:p>
            <w:pPr>
              <w:spacing w:before="0" w:after="0" w:line="240" w:lineRule="auto"/>
              <w:jc w:val="left"/>
            </w:pPr>
            <w:r>
              <w:rPr>
                <w:rFonts w:ascii="Times New Roman" w:hAnsi="Times New Roman"/>
                <w:sz w:val="19"/>
              </w:rPr>
              <w:t>Strong secondary option.</w:t>
            </w:r>
          </w:p>
        </w:tc>
      </w:tr>
      <w:tr>
        <w:tc>
          <w:tcPr>
            <w:tcW w:type="dxa" w:w="792"/>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4</w:t>
            </w:r>
          </w:p>
        </w:tc>
        <w:tc>
          <w:tcPr>
            <w:tcW w:type="dxa" w:w="936"/>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i</w:t>
            </w:r>
          </w:p>
        </w:tc>
        <w:tc>
          <w:tcPr>
            <w:tcW w:type="dxa" w:w="540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Intermediate globally; relatively sensitive to simplex location; best at high sigma in Code A.</w:t>
            </w:r>
          </w:p>
        </w:tc>
        <w:tc>
          <w:tcPr>
            <w:tcW w:type="dxa" w:w="3960"/>
            <w:vAlign w:val="center"/>
            <w:tcMar>
              <w:top w:w="90" w:type="dxa"/>
              <w:start w:w="100" w:type="dxa"/>
              <w:bottom w:w="90" w:type="dxa"/>
              <w:end w:w="100" w:type="dxa"/>
            </w:tcMar>
            <w:shd w:fill="F7FAFC"/>
          </w:tcPr>
          <w:p>
            <w:pPr>
              <w:spacing w:before="0" w:after="0" w:line="240" w:lineRule="auto"/>
              <w:jc w:val="left"/>
            </w:pPr>
            <w:r>
              <w:rPr>
                <w:rFonts w:ascii="Times New Roman" w:hAnsi="Times New Roman"/>
                <w:sz w:val="19"/>
              </w:rPr>
              <w:t>Conditional option for high-dispersion settings after validation.</w:t>
            </w:r>
          </w:p>
        </w:tc>
      </w:tr>
      <w:tr>
        <w:tc>
          <w:tcPr>
            <w:tcW w:type="dxa" w:w="792"/>
            <w:vAlign w:val="center"/>
            <w:tcMar>
              <w:top w:w="90" w:type="dxa"/>
              <w:start w:w="100" w:type="dxa"/>
              <w:bottom w:w="90" w:type="dxa"/>
              <w:end w:w="100" w:type="dxa"/>
            </w:tcMar>
          </w:tcPr>
          <w:p>
            <w:pPr>
              <w:spacing w:before="0" w:after="0" w:line="240" w:lineRule="auto"/>
              <w:jc w:val="left"/>
            </w:pPr>
            <w:r>
              <w:rPr>
                <w:rFonts w:ascii="Times New Roman" w:hAnsi="Times New Roman"/>
                <w:sz w:val="19"/>
              </w:rPr>
              <w:t>5</w:t>
            </w:r>
          </w:p>
        </w:tc>
        <w:tc>
          <w:tcPr>
            <w:tcW w:type="dxa" w:w="936"/>
            <w:vAlign w:val="center"/>
            <w:tcMar>
              <w:top w:w="90" w:type="dxa"/>
              <w:start w:w="100" w:type="dxa"/>
              <w:bottom w:w="90" w:type="dxa"/>
              <w:end w:w="100" w:type="dxa"/>
            </w:tcMar>
          </w:tcPr>
          <w:p>
            <w:pPr>
              <w:spacing w:before="0" w:after="0" w:line="240" w:lineRule="auto"/>
              <w:jc w:val="left"/>
            </w:pPr>
            <w:r>
              <w:rPr>
                <w:rFonts w:ascii="Times New Roman" w:hAnsi="Times New Roman"/>
                <w:sz w:val="19"/>
              </w:rPr>
              <w:t>ii</w:t>
            </w:r>
          </w:p>
        </w:tc>
        <w:tc>
          <w:tcPr>
            <w:tcW w:type="dxa" w:w="5400"/>
            <w:vAlign w:val="center"/>
            <w:tcMar>
              <w:top w:w="90" w:type="dxa"/>
              <w:start w:w="100" w:type="dxa"/>
              <w:bottom w:w="90" w:type="dxa"/>
              <w:end w:w="100" w:type="dxa"/>
            </w:tcMar>
          </w:tcPr>
          <w:p>
            <w:pPr>
              <w:spacing w:before="0" w:after="0" w:line="240" w:lineRule="auto"/>
              <w:jc w:val="left"/>
            </w:pPr>
            <w:r>
              <w:rPr>
                <w:rFonts w:ascii="Times New Roman" w:hAnsi="Times New Roman"/>
                <w:sz w:val="19"/>
              </w:rPr>
              <w:t>Largest errors for every metric and no supported general performance niche.</w:t>
            </w:r>
          </w:p>
        </w:tc>
        <w:tc>
          <w:tcPr>
            <w:tcW w:type="dxa" w:w="3960"/>
            <w:vAlign w:val="center"/>
            <w:tcMar>
              <w:top w:w="90" w:type="dxa"/>
              <w:start w:w="100" w:type="dxa"/>
              <w:bottom w:w="90" w:type="dxa"/>
              <w:end w:w="100" w:type="dxa"/>
            </w:tcMar>
          </w:tcPr>
          <w:p>
            <w:pPr>
              <w:spacing w:before="0" w:after="0" w:line="240" w:lineRule="auto"/>
              <w:jc w:val="left"/>
            </w:pPr>
            <w:r>
              <w:rPr>
                <w:rFonts w:ascii="Times New Roman" w:hAnsi="Times New Roman"/>
                <w:sz w:val="19"/>
              </w:rPr>
              <w:t>Not recommended for general use.</w:t>
            </w:r>
          </w:p>
        </w:tc>
      </w:tr>
    </w:tbl>
    <w:p>
      <w:pPr>
        <w:pStyle w:val="NormalWeb"/>
        <w:spacing w:after="0"/>
      </w:pPr>
    </w:p>
    <w:p>
      <w:pPr>
        <w:pStyle w:val="Heading2"/>
        <w:keepNext/>
      </w:pPr>
      <w:r>
        <w:rPr>
          <w:rFonts w:ascii="Times New Roman" w:hAnsi="Times New Roman"/>
        </w:rPr>
        <w:t>8. Interactions, simplex effects, and robustness</w:t>
      </w:r>
    </w:p>
    <w:p>
      <w:pPr>
        <w:pStyle w:val="NormalWeb"/>
      </w:pPr>
      <w:r>
        <w:rPr>
          <w:rFonts w:ascii="Times New Roman" w:hAnsi="Times New Roman"/>
        </w:rPr>
        <w:t>The most consequential qualification to the global ranking is the method-by-sigma interaction. It is the largest method-dependent interaction in Codes A and B and the dominant modifier of pairwise gaps in Code C2. Code A provides direct factor-level evidence of a crossover, with method iii best at low and moderate sigma but method i best at sigma = 1. This result does not make i the preferred global estimator; it shows that a default method should be evaluated under the dispersion range relevant to the intended application.</w:t>
      </w:r>
    </w:p>
    <w:p>
      <w:pPr>
        <w:pStyle w:val="NormalWeb"/>
      </w:pPr>
      <w:r>
        <w:rPr>
          <w:rFonts w:ascii="Times New Roman" w:hAnsi="Times New Roman"/>
        </w:rPr>
        <w:t>Interactions with G, mean sample size, and design block are statistically reliable but smaller. Their practical implication is that changing sampling intensity or the sample-size distribution can alter the size of method advantages without generally changing the overall hierarchy. Code C2 identifies where pairwise gaps vary but, in the absence of cell-specific marginal means for every comparison, does not by itself establish additional rank reversals.</w:t>
      </w:r>
    </w:p>
    <w:p>
      <w:pPr>
        <w:pStyle w:val="NormalWeb"/>
      </w:pPr>
      <w:r>
        <w:rPr>
          <w:rFonts w:ascii="Times New Roman" w:hAnsi="Times New Roman"/>
        </w:rPr>
        <w:t>The apparent weakness of linear p1 and p2 effects in Codes A, B, and C2 is resolved by Code E. The global GAM explained 68.4% of deviance and found acceptable basis-dimension checks for the fitted k = 20 surfaces. Each method exhibits nonlinear variation across the simplex, with elevated error in much of the interior and lower error along selected boundaries. Method i has the largest spatial amplitude; methods iii, iv, and v have more similar and generally lower surfaces; and ii remains elevated over most of the domain.</w:t>
      </w:r>
    </w:p>
    <w:p>
      <w:pPr>
        <w:pStyle w:val="NormalWeb"/>
      </w:pPr>
      <w:r>
        <w:rPr>
          <w:rFonts w:ascii="Times New Roman" w:hAnsi="Times New Roman"/>
        </w:rPr>
        <w:t>The signed v-versus-iii GAM explains only about 2.38% of deviance, which is consistent with the very small global difference between these two methods. Nevertheless, it identifies a coherent central region where v has lower error. The local result should be used as a diagnostic refinement, not as a replacement for the global comparison. The appropriate conclusion is that iii is marginally best on average, while v can be preferable for substantial regions of the simplex under representative conditions.</w:t>
      </w:r>
    </w:p>
    <w:p>
      <w:pPr>
        <w:pStyle w:val="Heading2"/>
        <w:keepNext/>
      </w:pPr>
      <w:r>
        <w:rPr>
          <w:rFonts w:ascii="Times New Roman" w:hAnsi="Times New Roman"/>
        </w:rPr>
        <w:t>9. Statistical and practical interpretation</w:t>
      </w:r>
    </w:p>
    <w:p>
      <w:pPr>
        <w:pStyle w:val="NormalWeb"/>
      </w:pPr>
      <w:r>
        <w:rPr>
          <w:rFonts w:ascii="Times New Roman" w:hAnsi="Times New Roman"/>
        </w:rPr>
        <w:t>The very large sample sizes make small differences easy to detect. Code A uses 400,950 complete cases, Code B analyzes 1,202,850 long-format observations, Code C evaluates 16,038 paired environments, and Code E fits 240,570 weighted aggregate cells. Accordingly, p-values establish that systematic differences exist, but effect sizes, error ratios, and consistency across analyses determine whether those differences are practically important.</w:t>
      </w:r>
    </w:p>
    <w:p>
      <w:pPr>
        <w:pStyle w:val="NormalWeb"/>
      </w:pPr>
      <w:r>
        <w:rPr>
          <w:rFonts w:ascii="Times New Roman" w:hAnsi="Times New Roman"/>
        </w:rPr>
        <w:t>This distinction is most important within the leading group. Code C1 produces a strict statistical order of iii, v, and iv, yet the improvement of iii over v is only about 0.3%-0.4%, and the improvement of iii over iv is about 0.9%. In contrast, improvements relative to i and ii are several percentage points and are consistent across all three metrics. A practical ranking should therefore treat iii and v as near-equivalent leaders, retain iv as a close third, and place a more substantial separation before i and ii.</w:t>
      </w:r>
    </w:p>
    <w:p>
      <w:pPr>
        <w:pStyle w:val="NormalWeb"/>
      </w:pPr>
      <w:r>
        <w:rPr>
          <w:rFonts w:ascii="Times New Roman" w:hAnsi="Times New Roman"/>
        </w:rPr>
        <w:t>The mixed-effects and GAM diagnostics also qualify formal inference. The simplex random intercept accounts for about 12.1% of the variance in Code B, supporting the use of clustered modeling. Code E shows right-skewed residuals, upper-tail departures, and heteroscedasticity, so its p-values are best interpreted as evidence of systematic mean structure rather than exact Gaussian calibration. The agreement of Code E with the factorial, mixed, and paired analyses makes the substantive conclusions robust to these diagnostic limitations.</w:t>
      </w:r>
    </w:p>
    <w:p>
      <w:pPr>
        <w:pStyle w:val="Heading2"/>
        <w:keepNext/>
      </w:pPr>
      <w:r>
        <w:rPr>
          <w:rFonts w:ascii="Times New Roman" w:hAnsi="Times New Roman"/>
        </w:rPr>
        <w:t>10. Integrated ranking and concluding assessment</w:t>
      </w:r>
    </w:p>
    <w:p>
      <w:pPr>
        <w:pStyle w:val="NormalWeb"/>
      </w:pPr>
      <w:r>
        <w:rPr>
          <w:rFonts w:ascii="Times New Roman" w:hAnsi="Times New Roman"/>
        </w:rPr>
        <w:t>The best-supported strict ranking is iii &gt; v &gt; iv &gt; i &gt; ii, while the most defensible practical ranking is iii approximately equal to v &gt; iv &gt; i &gt; ii. Method iii ranks first because it minimizes all three global error measures, produces the largest relative-efficiency gains, and remains strong across the dominant experimental conditions. Method v ranks second because its average disadvantage is negligible and it has a demonstrable central-simplex advantage. Method iv ranks third because it is consistently close to the leaders but is more clearly separated under L1. Method i ranks fourth because it is globally less accurate and more composition-sensitive, notwithstanding its high-dispersion specialization. Method ii ranks last because it has the largest errors under RMSE, L1, and Linf and lacks a supported general niche.</w:t>
      </w:r>
    </w:p>
    <w:p>
      <w:pPr>
        <w:pStyle w:val="NormalWeb"/>
      </w:pPr>
      <w:r>
        <w:rPr>
          <w:rFonts w:ascii="Times New Roman" w:hAnsi="Times New Roman"/>
        </w:rPr>
        <w:t>In conclusion, all five analyses converge. Accuracy is governed chiefly by dispersion and the number of sampled groups; design block and mean sample size are secondary. Method iii is the strongest general-purpose estimator, while v is practically co-leading and often superior in the central simplex. Method iv is a close alternative, i is conditionally useful at high dispersion, and ii is not supported for general use.</w:t>
      </w:r>
    </w:p>
    <w:sectPr w:rsidR="003B19E4"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2377D3"/>
    <w:rsid w:val="002E36FF"/>
    <w:rsid w:val="003B19E4"/>
    <w:rsid w:val="003C743F"/>
    <w:rsid w:val="004226D1"/>
    <w:rsid w:val="00671B0F"/>
    <w:rsid w:val="008D1426"/>
    <w:rsid w:val="00903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26D1"/>
    <w:pPr>
      <w:keepNext/>
      <w:spacing w:before="140" w:beforeAutospacing="1" w:after="80" w:afterAutospacing="1" w:line="240" w:lineRule="auto"/>
      <w:outlineLvl w:val="1"/>
    </w:pPr>
    <w:rPr>
      <w:rFonts w:ascii="Times New Roman" w:eastAsia="Times New Roman" w:hAnsi="Times New Roman" w:cs="Times New Roman"/>
      <w:b/>
      <w:bCs/>
      <w:color w:val="000000"/>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80" w:beforeAutospacing="1" w:after="80" w:afterAutospacing="1"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500740">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126788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1245</Words>
  <Characters>7102</Characters>
  <Application>Microsoft Office Word</Application>
  <DocSecurity>0</DocSecurity>
  <Lines>59</Lines>
  <Paragraphs>16</Paragraphs>
  <ScaleCrop>false</ScaleCrop>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Analysis of Compositional Likelihood Estimation Results</dc:title>
  <dc:subject>Integrated statistical analysis of Codes A, B, C1, C2, and E</dc:subject>
  <dc:creator>Jon Brodziak</dc:creator>
  <cp:keywords>composition likelihood, RMSE, L1, Linf, MANOVA, mixed effects, GAM</cp:keywords>
  <dc:description/>
  <cp:lastModifiedBy>Jon Brodziak</cp:lastModifiedBy>
  <cp:revision>6</cp:revision>
  <dcterms:created xsi:type="dcterms:W3CDTF">2026-05-29T00:38:00Z</dcterms:created>
  <dcterms:modified xsi:type="dcterms:W3CDTF">2026-06-04T20:56:00Z</dcterms:modified>
</cp:coreProperties>
</file>