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B161E"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Goal</w:t>
      </w:r>
    </w:p>
    <w:p w14:paraId="3A5C6713"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purpose of </w:t>
      </w:r>
      <w:r w:rsidRPr="004A276C">
        <w:rPr>
          <w:rFonts w:ascii="Courier New" w:eastAsia="Times New Roman" w:hAnsi="Courier New" w:cs="Courier New"/>
          <w:sz w:val="20"/>
          <w:szCs w:val="20"/>
        </w:rPr>
        <w:t>code-E.R</w:t>
      </w:r>
      <w:r w:rsidRPr="004A276C">
        <w:rPr>
          <w:rFonts w:ascii="Times New Roman" w:eastAsia="Times New Roman" w:hAnsi="Times New Roman" w:cs="Times New Roman"/>
          <w:sz w:val="24"/>
          <w:szCs w:val="24"/>
        </w:rPr>
        <w:t xml:space="preserve"> was to determine whether the accuracy of the five compositional likelihood estimation methods varies smoothly across the probability space defined by </w:t>
      </w:r>
      <w:r w:rsidRPr="004A276C">
        <w:rPr>
          <w:rFonts w:ascii="Courier New" w:eastAsia="Times New Roman" w:hAnsi="Courier New" w:cs="Courier New"/>
          <w:sz w:val="20"/>
          <w:szCs w:val="20"/>
        </w:rPr>
        <w:t>(p1, p2)</w:t>
      </w:r>
      <w:r w:rsidRPr="004A276C">
        <w:rPr>
          <w:rFonts w:ascii="Times New Roman" w:eastAsia="Times New Roman" w:hAnsi="Times New Roman" w:cs="Times New Roman"/>
          <w:sz w:val="24"/>
          <w:szCs w:val="24"/>
        </w:rPr>
        <w:t>, and whether those surfaces differ by method and by error metric.</w:t>
      </w:r>
    </w:p>
    <w:p w14:paraId="05EB0638"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Main conclusion</w:t>
      </w:r>
    </w:p>
    <w:p w14:paraId="245A3C4E"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The GAM analysis supports three clear conclusions.</w:t>
      </w:r>
    </w:p>
    <w:p w14:paraId="34C84B63"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First, the probability-space surface </w:t>
      </w:r>
      <w:r w:rsidRPr="004A276C">
        <w:rPr>
          <w:rFonts w:ascii="Courier New" w:eastAsia="Times New Roman" w:hAnsi="Courier New" w:cs="Courier New"/>
          <w:sz w:val="20"/>
          <w:szCs w:val="20"/>
        </w:rPr>
        <w:t>s(p1, p2)</w:t>
      </w:r>
      <w:r w:rsidRPr="004A276C">
        <w:rPr>
          <w:rFonts w:ascii="Times New Roman" w:eastAsia="Times New Roman" w:hAnsi="Times New Roman" w:cs="Times New Roman"/>
          <w:sz w:val="24"/>
          <w:szCs w:val="24"/>
        </w:rPr>
        <w:t xml:space="preserve"> is highly important. All five method-specific smooths are strongly significant, with large F-statistics, and the global model explains about </w:t>
      </w:r>
      <w:r w:rsidRPr="004A276C">
        <w:rPr>
          <w:rFonts w:ascii="Times New Roman" w:eastAsia="Times New Roman" w:hAnsi="Times New Roman" w:cs="Times New Roman"/>
          <w:b/>
          <w:bCs/>
          <w:sz w:val="24"/>
          <w:szCs w:val="24"/>
        </w:rPr>
        <w:t>67.3% of deviance</w:t>
      </w:r>
      <w:r w:rsidRPr="004A276C">
        <w:rPr>
          <w:rFonts w:ascii="Times New Roman" w:eastAsia="Times New Roman" w:hAnsi="Times New Roman" w:cs="Times New Roman"/>
          <w:sz w:val="24"/>
          <w:szCs w:val="24"/>
        </w:rPr>
        <w:t xml:space="preserve"> on </w:t>
      </w:r>
      <w:r w:rsidRPr="004A276C">
        <w:rPr>
          <w:rFonts w:ascii="Times New Roman" w:eastAsia="Times New Roman" w:hAnsi="Times New Roman" w:cs="Times New Roman"/>
          <w:b/>
          <w:bCs/>
          <w:sz w:val="24"/>
          <w:szCs w:val="24"/>
        </w:rPr>
        <w:t>1,443,420 aggregated rows</w:t>
      </w:r>
      <w:r w:rsidRPr="004A276C">
        <w:rPr>
          <w:rFonts w:ascii="Times New Roman" w:eastAsia="Times New Roman" w:hAnsi="Times New Roman" w:cs="Times New Roman"/>
          <w:sz w:val="24"/>
          <w:szCs w:val="24"/>
        </w:rPr>
        <w:t xml:space="preserve">. This means that the interaction of </w:t>
      </w:r>
      <w:r w:rsidRPr="004A276C">
        <w:rPr>
          <w:rFonts w:ascii="Courier New" w:eastAsia="Times New Roman" w:hAnsi="Courier New" w:cs="Courier New"/>
          <w:sz w:val="20"/>
          <w:szCs w:val="20"/>
        </w:rPr>
        <w:t>p1</w:t>
      </w:r>
      <w:r w:rsidRPr="004A276C">
        <w:rPr>
          <w:rFonts w:ascii="Times New Roman" w:eastAsia="Times New Roman" w:hAnsi="Times New Roman" w:cs="Times New Roman"/>
          <w:sz w:val="24"/>
          <w:szCs w:val="24"/>
        </w:rPr>
        <w:t xml:space="preserve"> and </w:t>
      </w:r>
      <w:r w:rsidRPr="004A276C">
        <w:rPr>
          <w:rFonts w:ascii="Courier New" w:eastAsia="Times New Roman" w:hAnsi="Courier New" w:cs="Courier New"/>
          <w:sz w:val="20"/>
          <w:szCs w:val="20"/>
        </w:rPr>
        <w:t>p2</w:t>
      </w:r>
      <w:r w:rsidRPr="004A276C">
        <w:rPr>
          <w:rFonts w:ascii="Times New Roman" w:eastAsia="Times New Roman" w:hAnsi="Times New Roman" w:cs="Times New Roman"/>
          <w:sz w:val="24"/>
          <w:szCs w:val="24"/>
        </w:rPr>
        <w:t xml:space="preserve"> is not a nuisance pattern; it is a primary determinant of estimation accuracy.</w:t>
      </w:r>
    </w:p>
    <w:p w14:paraId="0300E0A5"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Second, the fitted basis dimension is adequate for the run actually shown. The prompt refers to </w:t>
      </w:r>
      <w:r w:rsidRPr="004A276C">
        <w:rPr>
          <w:rFonts w:ascii="Courier New" w:eastAsia="Times New Roman" w:hAnsi="Courier New" w:cs="Courier New"/>
          <w:sz w:val="20"/>
          <w:szCs w:val="20"/>
        </w:rPr>
        <w:t>k = 30</w:t>
      </w:r>
      <w:r w:rsidRPr="004A276C">
        <w:rPr>
          <w:rFonts w:ascii="Times New Roman" w:eastAsia="Times New Roman" w:hAnsi="Times New Roman" w:cs="Times New Roman"/>
          <w:sz w:val="24"/>
          <w:szCs w:val="24"/>
        </w:rPr>
        <w:t xml:space="preserve">, but the output formula reports </w:t>
      </w:r>
      <w:r w:rsidRPr="004A276C">
        <w:rPr>
          <w:rFonts w:ascii="Courier New" w:eastAsia="Times New Roman" w:hAnsi="Courier New" w:cs="Courier New"/>
          <w:sz w:val="20"/>
          <w:szCs w:val="20"/>
        </w:rPr>
        <w:t>k = 20</w:t>
      </w:r>
      <w:r w:rsidRPr="004A276C">
        <w:rPr>
          <w:rFonts w:ascii="Times New Roman" w:eastAsia="Times New Roman" w:hAnsi="Times New Roman" w:cs="Times New Roman"/>
          <w:sz w:val="24"/>
          <w:szCs w:val="24"/>
        </w:rPr>
        <w:t xml:space="preserve">, with </w:t>
      </w:r>
      <w:r w:rsidRPr="004A276C">
        <w:rPr>
          <w:rFonts w:ascii="Courier New" w:eastAsia="Times New Roman" w:hAnsi="Courier New" w:cs="Courier New"/>
          <w:sz w:val="20"/>
          <w:szCs w:val="20"/>
        </w:rPr>
        <w:t>k' = 19</w:t>
      </w:r>
      <w:r w:rsidRPr="004A276C">
        <w:rPr>
          <w:rFonts w:ascii="Times New Roman" w:eastAsia="Times New Roman" w:hAnsi="Times New Roman" w:cs="Times New Roman"/>
          <w:sz w:val="24"/>
          <w:szCs w:val="24"/>
        </w:rPr>
        <w:t xml:space="preserve">. The global smooths have </w:t>
      </w:r>
      <w:r w:rsidRPr="004A276C">
        <w:rPr>
          <w:rFonts w:ascii="Courier New" w:eastAsia="Times New Roman" w:hAnsi="Courier New" w:cs="Courier New"/>
          <w:sz w:val="20"/>
          <w:szCs w:val="20"/>
        </w:rPr>
        <w:t>k-index ≈ 0.98</w:t>
      </w:r>
      <w:r w:rsidRPr="004A276C">
        <w:rPr>
          <w:rFonts w:ascii="Times New Roman" w:eastAsia="Times New Roman" w:hAnsi="Times New Roman" w:cs="Times New Roman"/>
          <w:sz w:val="24"/>
          <w:szCs w:val="24"/>
        </w:rPr>
        <w:t xml:space="preserve"> and non-small p-values from 0.14 to 0.20, so there is no direct evidence that the basis dimension is too low. The difference and signed-ratio GAMs are even cleaner, with </w:t>
      </w:r>
      <w:r w:rsidRPr="004A276C">
        <w:rPr>
          <w:rFonts w:ascii="Courier New" w:eastAsia="Times New Roman" w:hAnsi="Courier New" w:cs="Courier New"/>
          <w:sz w:val="20"/>
          <w:szCs w:val="20"/>
        </w:rPr>
        <w:t>k-index ≈ 0.98–0.99</w:t>
      </w:r>
      <w:r w:rsidRPr="004A276C">
        <w:rPr>
          <w:rFonts w:ascii="Times New Roman" w:eastAsia="Times New Roman" w:hAnsi="Times New Roman" w:cs="Times New Roman"/>
          <w:sz w:val="24"/>
          <w:szCs w:val="24"/>
        </w:rPr>
        <w:t xml:space="preserve"> and p-values from 0.28 to 0.50.</w:t>
      </w:r>
    </w:p>
    <w:p w14:paraId="53B6DEF3"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Third, Method </w:t>
      </w:r>
      <w:r w:rsidRPr="004A276C">
        <w:rPr>
          <w:rFonts w:ascii="Times New Roman" w:eastAsia="Times New Roman" w:hAnsi="Times New Roman" w:cs="Times New Roman"/>
          <w:b/>
          <w:bCs/>
          <w:sz w:val="24"/>
          <w:szCs w:val="24"/>
        </w:rPr>
        <w:t>v</w:t>
      </w:r>
      <w:r w:rsidRPr="004A276C">
        <w:rPr>
          <w:rFonts w:ascii="Times New Roman" w:eastAsia="Times New Roman" w:hAnsi="Times New Roman" w:cs="Times New Roman"/>
          <w:sz w:val="24"/>
          <w:szCs w:val="24"/>
        </w:rPr>
        <w:t xml:space="preserve"> is not globally better than Method </w:t>
      </w:r>
      <w:r w:rsidRPr="004A276C">
        <w:rPr>
          <w:rFonts w:ascii="Times New Roman" w:eastAsia="Times New Roman" w:hAnsi="Times New Roman" w:cs="Times New Roman"/>
          <w:b/>
          <w:bCs/>
          <w:sz w:val="24"/>
          <w:szCs w:val="24"/>
        </w:rPr>
        <w:t>iii</w:t>
      </w:r>
      <w:r w:rsidRPr="004A276C">
        <w:rPr>
          <w:rFonts w:ascii="Times New Roman" w:eastAsia="Times New Roman" w:hAnsi="Times New Roman" w:cs="Times New Roman"/>
          <w:sz w:val="24"/>
          <w:szCs w:val="24"/>
        </w:rPr>
        <w:t xml:space="preserve">. The signed log-ratio analysis defines positive values as </w:t>
      </w:r>
      <w:r w:rsidRPr="004A276C">
        <w:rPr>
          <w:rFonts w:ascii="Times New Roman" w:eastAsia="Times New Roman" w:hAnsi="Times New Roman" w:cs="Times New Roman"/>
          <w:b/>
          <w:bCs/>
          <w:sz w:val="24"/>
          <w:szCs w:val="24"/>
        </w:rPr>
        <w:t>Method v having larger error than Method iii</w:t>
      </w:r>
      <w:r w:rsidRPr="004A276C">
        <w:rPr>
          <w:rFonts w:ascii="Times New Roman" w:eastAsia="Times New Roman" w:hAnsi="Times New Roman" w:cs="Times New Roman"/>
          <w:sz w:val="24"/>
          <w:szCs w:val="24"/>
        </w:rPr>
        <w:t xml:space="preserve"> and negative values as </w:t>
      </w:r>
      <w:r w:rsidRPr="004A276C">
        <w:rPr>
          <w:rFonts w:ascii="Times New Roman" w:eastAsia="Times New Roman" w:hAnsi="Times New Roman" w:cs="Times New Roman"/>
          <w:b/>
          <w:bCs/>
          <w:sz w:val="24"/>
          <w:szCs w:val="24"/>
        </w:rPr>
        <w:t>Method v having smaller error</w:t>
      </w:r>
      <w:r w:rsidRPr="004A276C">
        <w:rPr>
          <w:rFonts w:ascii="Times New Roman" w:eastAsia="Times New Roman" w:hAnsi="Times New Roman" w:cs="Times New Roman"/>
          <w:sz w:val="24"/>
          <w:szCs w:val="24"/>
        </w:rPr>
        <w:t xml:space="preserve">. On the prediction grid, Method v has larger error than Method iii over </w:t>
      </w:r>
      <w:r w:rsidRPr="004A276C">
        <w:rPr>
          <w:rFonts w:ascii="Times New Roman" w:eastAsia="Times New Roman" w:hAnsi="Times New Roman" w:cs="Times New Roman"/>
          <w:b/>
          <w:bCs/>
          <w:sz w:val="24"/>
          <w:szCs w:val="24"/>
        </w:rPr>
        <w:t>80.7%</w:t>
      </w:r>
      <w:r w:rsidRPr="004A276C">
        <w:rPr>
          <w:rFonts w:ascii="Times New Roman" w:eastAsia="Times New Roman" w:hAnsi="Times New Roman" w:cs="Times New Roman"/>
          <w:sz w:val="24"/>
          <w:szCs w:val="24"/>
        </w:rPr>
        <w:t xml:space="preserve"> of RMSE cells, </w:t>
      </w:r>
      <w:r w:rsidRPr="004A276C">
        <w:rPr>
          <w:rFonts w:ascii="Times New Roman" w:eastAsia="Times New Roman" w:hAnsi="Times New Roman" w:cs="Times New Roman"/>
          <w:b/>
          <w:bCs/>
          <w:sz w:val="24"/>
          <w:szCs w:val="24"/>
        </w:rPr>
        <w:t>75.3%</w:t>
      </w:r>
      <w:r w:rsidRPr="004A276C">
        <w:rPr>
          <w:rFonts w:ascii="Times New Roman" w:eastAsia="Times New Roman" w:hAnsi="Times New Roman" w:cs="Times New Roman"/>
          <w:sz w:val="24"/>
          <w:szCs w:val="24"/>
        </w:rPr>
        <w:t xml:space="preserve"> of L1 cells, and </w:t>
      </w:r>
      <w:r w:rsidRPr="004A276C">
        <w:rPr>
          <w:rFonts w:ascii="Times New Roman" w:eastAsia="Times New Roman" w:hAnsi="Times New Roman" w:cs="Times New Roman"/>
          <w:b/>
          <w:bCs/>
          <w:sz w:val="24"/>
          <w:szCs w:val="24"/>
        </w:rPr>
        <w:t>75.7%</w:t>
      </w:r>
      <w:r w:rsidRPr="004A276C">
        <w:rPr>
          <w:rFonts w:ascii="Times New Roman" w:eastAsia="Times New Roman" w:hAnsi="Times New Roman" w:cs="Times New Roman"/>
          <w:sz w:val="24"/>
          <w:szCs w:val="24"/>
        </w:rPr>
        <w:t xml:space="preserve"> of </w:t>
      </w:r>
      <w:proofErr w:type="spellStart"/>
      <w:r w:rsidRPr="004A276C">
        <w:rPr>
          <w:rFonts w:ascii="Times New Roman" w:eastAsia="Times New Roman" w:hAnsi="Times New Roman" w:cs="Times New Roman"/>
          <w:sz w:val="24"/>
          <w:szCs w:val="24"/>
        </w:rPr>
        <w:t>Linf</w:t>
      </w:r>
      <w:proofErr w:type="spellEnd"/>
      <w:r w:rsidRPr="004A276C">
        <w:rPr>
          <w:rFonts w:ascii="Times New Roman" w:eastAsia="Times New Roman" w:hAnsi="Times New Roman" w:cs="Times New Roman"/>
          <w:sz w:val="24"/>
          <w:szCs w:val="24"/>
        </w:rPr>
        <w:t xml:space="preserve"> cells. Method v has localized advantages, but Method iii is favored over most of the probability space.</w:t>
      </w:r>
    </w:p>
    <w:p w14:paraId="2993F549"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pict w14:anchorId="67F30FED">
          <v:rect id="_x0000_i1025" style="width:0;height:1.5pt" o:hralign="center" o:hrstd="t" o:hr="t" fillcolor="#a0a0a0" stroked="f"/>
        </w:pict>
      </w:r>
    </w:p>
    <w:p w14:paraId="2C35B64E"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1. Global GAM interpretation</w:t>
      </w:r>
    </w:p>
    <w:p w14:paraId="239F9E70"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The global GAM used the model</w:t>
      </w:r>
    </w:p>
    <w:p w14:paraId="3D8DE8D5"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Courier New" w:eastAsia="Times New Roman" w:hAnsi="Courier New" w:cs="Courier New"/>
          <w:sz w:val="20"/>
          <w:szCs w:val="20"/>
        </w:rPr>
        <w:t xml:space="preserve">y ~ metric * method + s(p1, p2, by = method, k = 20) + </w:t>
      </w:r>
      <w:proofErr w:type="spellStart"/>
      <w:r w:rsidRPr="004A276C">
        <w:rPr>
          <w:rFonts w:ascii="Courier New" w:eastAsia="Times New Roman" w:hAnsi="Courier New" w:cs="Courier New"/>
          <w:sz w:val="20"/>
          <w:szCs w:val="20"/>
        </w:rPr>
        <w:t>design_block</w:t>
      </w:r>
      <w:proofErr w:type="spellEnd"/>
      <w:r w:rsidRPr="004A276C">
        <w:rPr>
          <w:rFonts w:ascii="Courier New" w:eastAsia="Times New Roman" w:hAnsi="Courier New" w:cs="Courier New"/>
          <w:sz w:val="20"/>
          <w:szCs w:val="20"/>
        </w:rPr>
        <w:t xml:space="preserve"> + G + </w:t>
      </w:r>
      <w:proofErr w:type="spellStart"/>
      <w:r w:rsidRPr="004A276C">
        <w:rPr>
          <w:rFonts w:ascii="Courier New" w:eastAsia="Times New Roman" w:hAnsi="Courier New" w:cs="Courier New"/>
          <w:sz w:val="20"/>
          <w:szCs w:val="20"/>
        </w:rPr>
        <w:t>theta_true</w:t>
      </w:r>
      <w:proofErr w:type="spellEnd"/>
      <w:r w:rsidRPr="004A276C">
        <w:rPr>
          <w:rFonts w:ascii="Courier New" w:eastAsia="Times New Roman" w:hAnsi="Courier New" w:cs="Courier New"/>
          <w:sz w:val="20"/>
          <w:szCs w:val="20"/>
        </w:rPr>
        <w:t xml:space="preserve"> + </w:t>
      </w:r>
      <w:proofErr w:type="spellStart"/>
      <w:r w:rsidRPr="004A276C">
        <w:rPr>
          <w:rFonts w:ascii="Courier New" w:eastAsia="Times New Roman" w:hAnsi="Courier New" w:cs="Courier New"/>
          <w:sz w:val="20"/>
          <w:szCs w:val="20"/>
        </w:rPr>
        <w:t>theta_CV</w:t>
      </w:r>
      <w:proofErr w:type="spellEnd"/>
      <w:r w:rsidRPr="004A276C">
        <w:rPr>
          <w:rFonts w:ascii="Courier New" w:eastAsia="Times New Roman" w:hAnsi="Courier New" w:cs="Courier New"/>
          <w:sz w:val="20"/>
          <w:szCs w:val="20"/>
        </w:rPr>
        <w:t xml:space="preserve"> + sigma + </w:t>
      </w:r>
      <w:proofErr w:type="spellStart"/>
      <w:r w:rsidRPr="004A276C">
        <w:rPr>
          <w:rFonts w:ascii="Courier New" w:eastAsia="Times New Roman" w:hAnsi="Courier New" w:cs="Courier New"/>
          <w:sz w:val="20"/>
          <w:szCs w:val="20"/>
        </w:rPr>
        <w:t>mean_nsamp</w:t>
      </w:r>
      <w:proofErr w:type="spellEnd"/>
    </w:p>
    <w:p w14:paraId="082A0B6C"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where </w:t>
      </w:r>
      <w:r w:rsidRPr="004A276C">
        <w:rPr>
          <w:rFonts w:ascii="Courier New" w:eastAsia="Times New Roman" w:hAnsi="Courier New" w:cs="Courier New"/>
          <w:sz w:val="20"/>
          <w:szCs w:val="20"/>
        </w:rPr>
        <w:t>y</w:t>
      </w:r>
      <w:r w:rsidRPr="004A276C">
        <w:rPr>
          <w:rFonts w:ascii="Times New Roman" w:eastAsia="Times New Roman" w:hAnsi="Times New Roman" w:cs="Times New Roman"/>
          <w:sz w:val="24"/>
          <w:szCs w:val="24"/>
        </w:rPr>
        <w:t xml:space="preserve"> is the log-transformed accuracy response. Lower fitted values indicate smaller expected error.</w:t>
      </w:r>
    </w:p>
    <w:p w14:paraId="5004F21E"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global model has strong explanatory power for a simulation diagnostic model. The adjusted R² is </w:t>
      </w:r>
      <w:r w:rsidRPr="004A276C">
        <w:rPr>
          <w:rFonts w:ascii="Times New Roman" w:eastAsia="Times New Roman" w:hAnsi="Times New Roman" w:cs="Times New Roman"/>
          <w:b/>
          <w:bCs/>
          <w:sz w:val="24"/>
          <w:szCs w:val="24"/>
        </w:rPr>
        <w:t>0.673</w:t>
      </w:r>
      <w:r w:rsidRPr="004A276C">
        <w:rPr>
          <w:rFonts w:ascii="Times New Roman" w:eastAsia="Times New Roman" w:hAnsi="Times New Roman" w:cs="Times New Roman"/>
          <w:sz w:val="24"/>
          <w:szCs w:val="24"/>
        </w:rPr>
        <w:t xml:space="preserve">, and deviance explained is </w:t>
      </w:r>
      <w:r w:rsidRPr="004A276C">
        <w:rPr>
          <w:rFonts w:ascii="Times New Roman" w:eastAsia="Times New Roman" w:hAnsi="Times New Roman" w:cs="Times New Roman"/>
          <w:b/>
          <w:bCs/>
          <w:sz w:val="24"/>
          <w:szCs w:val="24"/>
        </w:rPr>
        <w:t>67.3%</w:t>
      </w:r>
      <w:r w:rsidRPr="004A276C">
        <w:rPr>
          <w:rFonts w:ascii="Times New Roman" w:eastAsia="Times New Roman" w:hAnsi="Times New Roman" w:cs="Times New Roman"/>
          <w:sz w:val="24"/>
          <w:szCs w:val="24"/>
        </w:rPr>
        <w:t>, which is high given that the response combines three error metrics, five methods, multiple design blocks, and a two-dimensional probability surface.</w:t>
      </w:r>
    </w:p>
    <w:p w14:paraId="68C95877"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The dominant fixed-effect hierarchy is clear: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1073"/>
        <w:gridCol w:w="6913"/>
      </w:tblGrid>
      <w:tr w:rsidR="004A276C" w:rsidRPr="004A276C" w14:paraId="16D1CF03" w14:textId="77777777" w:rsidTr="004A276C">
        <w:trPr>
          <w:tblHeader/>
          <w:tblCellSpacing w:w="15" w:type="dxa"/>
        </w:trPr>
        <w:tc>
          <w:tcPr>
            <w:tcW w:w="0" w:type="auto"/>
            <w:vAlign w:val="center"/>
            <w:hideMark/>
          </w:tcPr>
          <w:p w14:paraId="0F53B8D5" w14:textId="77777777" w:rsidR="004A276C" w:rsidRPr="004A276C" w:rsidRDefault="004A276C" w:rsidP="004A276C">
            <w:pPr>
              <w:spacing w:after="0" w:line="240" w:lineRule="auto"/>
              <w:jc w:val="center"/>
              <w:rPr>
                <w:rFonts w:ascii="Times New Roman" w:eastAsia="Times New Roman" w:hAnsi="Times New Roman" w:cs="Times New Roman"/>
                <w:b/>
                <w:bCs/>
                <w:sz w:val="24"/>
                <w:szCs w:val="24"/>
              </w:rPr>
            </w:pPr>
            <w:r w:rsidRPr="004A276C">
              <w:rPr>
                <w:rFonts w:ascii="Times New Roman" w:eastAsia="Times New Roman" w:hAnsi="Times New Roman" w:cs="Times New Roman"/>
                <w:b/>
                <w:bCs/>
                <w:sz w:val="24"/>
                <w:szCs w:val="24"/>
              </w:rPr>
              <w:t>Effect</w:t>
            </w:r>
          </w:p>
        </w:tc>
        <w:tc>
          <w:tcPr>
            <w:tcW w:w="0" w:type="auto"/>
            <w:vAlign w:val="center"/>
            <w:hideMark/>
          </w:tcPr>
          <w:p w14:paraId="19E67090" w14:textId="77777777" w:rsidR="004A276C" w:rsidRPr="004A276C" w:rsidRDefault="004A276C" w:rsidP="004A276C">
            <w:pPr>
              <w:spacing w:after="0" w:line="240" w:lineRule="auto"/>
              <w:jc w:val="right"/>
              <w:rPr>
                <w:rFonts w:ascii="Times New Roman" w:eastAsia="Times New Roman" w:hAnsi="Times New Roman" w:cs="Times New Roman"/>
                <w:b/>
                <w:bCs/>
                <w:sz w:val="24"/>
                <w:szCs w:val="24"/>
              </w:rPr>
            </w:pPr>
            <w:r w:rsidRPr="004A276C">
              <w:rPr>
                <w:rFonts w:ascii="Times New Roman" w:eastAsia="Times New Roman" w:hAnsi="Times New Roman" w:cs="Times New Roman"/>
                <w:b/>
                <w:bCs/>
                <w:sz w:val="24"/>
                <w:szCs w:val="24"/>
              </w:rPr>
              <w:t>F-statistic</w:t>
            </w:r>
          </w:p>
        </w:tc>
        <w:tc>
          <w:tcPr>
            <w:tcW w:w="0" w:type="auto"/>
            <w:vAlign w:val="center"/>
            <w:hideMark/>
          </w:tcPr>
          <w:p w14:paraId="38790C18" w14:textId="77777777" w:rsidR="004A276C" w:rsidRPr="004A276C" w:rsidRDefault="004A276C" w:rsidP="004A276C">
            <w:pPr>
              <w:spacing w:after="0" w:line="240" w:lineRule="auto"/>
              <w:jc w:val="center"/>
              <w:rPr>
                <w:rFonts w:ascii="Times New Roman" w:eastAsia="Times New Roman" w:hAnsi="Times New Roman" w:cs="Times New Roman"/>
                <w:b/>
                <w:bCs/>
                <w:sz w:val="24"/>
                <w:szCs w:val="24"/>
              </w:rPr>
            </w:pPr>
            <w:r w:rsidRPr="004A276C">
              <w:rPr>
                <w:rFonts w:ascii="Times New Roman" w:eastAsia="Times New Roman" w:hAnsi="Times New Roman" w:cs="Times New Roman"/>
                <w:b/>
                <w:bCs/>
                <w:sz w:val="24"/>
                <w:szCs w:val="24"/>
              </w:rPr>
              <w:t>Interpretation</w:t>
            </w:r>
          </w:p>
        </w:tc>
      </w:tr>
      <w:tr w:rsidR="004A276C" w:rsidRPr="004A276C" w14:paraId="54DE86A8" w14:textId="77777777" w:rsidTr="004A276C">
        <w:trPr>
          <w:tblCellSpacing w:w="15" w:type="dxa"/>
        </w:trPr>
        <w:tc>
          <w:tcPr>
            <w:tcW w:w="0" w:type="auto"/>
            <w:vAlign w:val="center"/>
            <w:hideMark/>
          </w:tcPr>
          <w:p w14:paraId="09FF54D9"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Courier New" w:eastAsia="Times New Roman" w:hAnsi="Courier New" w:cs="Courier New"/>
                <w:sz w:val="20"/>
                <w:szCs w:val="20"/>
              </w:rPr>
              <w:t>sigma</w:t>
            </w:r>
          </w:p>
        </w:tc>
        <w:tc>
          <w:tcPr>
            <w:tcW w:w="0" w:type="auto"/>
            <w:vAlign w:val="center"/>
            <w:hideMark/>
          </w:tcPr>
          <w:p w14:paraId="2366C97F"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948,500</w:t>
            </w:r>
          </w:p>
        </w:tc>
        <w:tc>
          <w:tcPr>
            <w:tcW w:w="0" w:type="auto"/>
            <w:vAlign w:val="center"/>
            <w:hideMark/>
          </w:tcPr>
          <w:p w14:paraId="394CDD9C"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Dominant driver of error magnitude</w:t>
            </w:r>
          </w:p>
        </w:tc>
      </w:tr>
      <w:tr w:rsidR="004A276C" w:rsidRPr="004A276C" w14:paraId="012D9705" w14:textId="77777777" w:rsidTr="004A276C">
        <w:trPr>
          <w:tblCellSpacing w:w="15" w:type="dxa"/>
        </w:trPr>
        <w:tc>
          <w:tcPr>
            <w:tcW w:w="0" w:type="auto"/>
            <w:vAlign w:val="center"/>
            <w:hideMark/>
          </w:tcPr>
          <w:p w14:paraId="77E0C4D4"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Courier New" w:eastAsia="Times New Roman" w:hAnsi="Courier New" w:cs="Courier New"/>
                <w:sz w:val="20"/>
                <w:szCs w:val="20"/>
              </w:rPr>
              <w:t>G</w:t>
            </w:r>
          </w:p>
        </w:tc>
        <w:tc>
          <w:tcPr>
            <w:tcW w:w="0" w:type="auto"/>
            <w:vAlign w:val="center"/>
            <w:hideMark/>
          </w:tcPr>
          <w:p w14:paraId="04EBE524"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262,200</w:t>
            </w:r>
          </w:p>
        </w:tc>
        <w:tc>
          <w:tcPr>
            <w:tcW w:w="0" w:type="auto"/>
            <w:vAlign w:val="center"/>
            <w:hideMark/>
          </w:tcPr>
          <w:p w14:paraId="68C24DBF"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Very strong experimental-factor effect</w:t>
            </w:r>
          </w:p>
        </w:tc>
      </w:tr>
      <w:tr w:rsidR="004A276C" w:rsidRPr="004A276C" w14:paraId="6BD8C470" w14:textId="77777777" w:rsidTr="004A276C">
        <w:trPr>
          <w:tblCellSpacing w:w="15" w:type="dxa"/>
        </w:trPr>
        <w:tc>
          <w:tcPr>
            <w:tcW w:w="0" w:type="auto"/>
            <w:vAlign w:val="center"/>
            <w:hideMark/>
          </w:tcPr>
          <w:p w14:paraId="4D074D3E"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Courier New" w:eastAsia="Times New Roman" w:hAnsi="Courier New" w:cs="Courier New"/>
                <w:sz w:val="20"/>
                <w:szCs w:val="20"/>
              </w:rPr>
              <w:t>metric</w:t>
            </w:r>
          </w:p>
        </w:tc>
        <w:tc>
          <w:tcPr>
            <w:tcW w:w="0" w:type="auto"/>
            <w:vAlign w:val="center"/>
            <w:hideMark/>
          </w:tcPr>
          <w:p w14:paraId="2C2B26BB"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155,700</w:t>
            </w:r>
          </w:p>
        </w:tc>
        <w:tc>
          <w:tcPr>
            <w:tcW w:w="0" w:type="auto"/>
            <w:vAlign w:val="center"/>
            <w:hideMark/>
          </w:tcPr>
          <w:p w14:paraId="0E79A5C2"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Error definition matters greatly</w:t>
            </w:r>
          </w:p>
        </w:tc>
      </w:tr>
      <w:tr w:rsidR="004A276C" w:rsidRPr="004A276C" w14:paraId="1C04F9FA" w14:textId="77777777" w:rsidTr="004A276C">
        <w:trPr>
          <w:tblCellSpacing w:w="15" w:type="dxa"/>
        </w:trPr>
        <w:tc>
          <w:tcPr>
            <w:tcW w:w="0" w:type="auto"/>
            <w:vAlign w:val="center"/>
            <w:hideMark/>
          </w:tcPr>
          <w:p w14:paraId="75F4E908" w14:textId="77777777" w:rsidR="004A276C" w:rsidRPr="004A276C" w:rsidRDefault="004A276C" w:rsidP="004A276C">
            <w:pPr>
              <w:spacing w:after="0" w:line="240" w:lineRule="auto"/>
              <w:rPr>
                <w:rFonts w:ascii="Times New Roman" w:eastAsia="Times New Roman" w:hAnsi="Times New Roman" w:cs="Times New Roman"/>
                <w:sz w:val="24"/>
                <w:szCs w:val="24"/>
              </w:rPr>
            </w:pPr>
            <w:proofErr w:type="spellStart"/>
            <w:r w:rsidRPr="004A276C">
              <w:rPr>
                <w:rFonts w:ascii="Courier New" w:eastAsia="Times New Roman" w:hAnsi="Courier New" w:cs="Courier New"/>
                <w:sz w:val="20"/>
                <w:szCs w:val="20"/>
              </w:rPr>
              <w:t>design_block</w:t>
            </w:r>
            <w:proofErr w:type="spellEnd"/>
          </w:p>
        </w:tc>
        <w:tc>
          <w:tcPr>
            <w:tcW w:w="0" w:type="auto"/>
            <w:vAlign w:val="center"/>
            <w:hideMark/>
          </w:tcPr>
          <w:p w14:paraId="4F9CCAEC"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4,298</w:t>
            </w:r>
          </w:p>
        </w:tc>
        <w:tc>
          <w:tcPr>
            <w:tcW w:w="0" w:type="auto"/>
            <w:vAlign w:val="center"/>
            <w:hideMark/>
          </w:tcPr>
          <w:p w14:paraId="4D2192AE"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Sampling design materially changes accuracy</w:t>
            </w:r>
          </w:p>
        </w:tc>
      </w:tr>
      <w:tr w:rsidR="004A276C" w:rsidRPr="004A276C" w14:paraId="22690AB4" w14:textId="77777777" w:rsidTr="004A276C">
        <w:trPr>
          <w:tblCellSpacing w:w="15" w:type="dxa"/>
        </w:trPr>
        <w:tc>
          <w:tcPr>
            <w:tcW w:w="0" w:type="auto"/>
            <w:vAlign w:val="center"/>
            <w:hideMark/>
          </w:tcPr>
          <w:p w14:paraId="05F69A5B" w14:textId="77777777" w:rsidR="004A276C" w:rsidRPr="004A276C" w:rsidRDefault="004A276C" w:rsidP="004A276C">
            <w:pPr>
              <w:spacing w:after="0" w:line="240" w:lineRule="auto"/>
              <w:rPr>
                <w:rFonts w:ascii="Times New Roman" w:eastAsia="Times New Roman" w:hAnsi="Times New Roman" w:cs="Times New Roman"/>
                <w:sz w:val="24"/>
                <w:szCs w:val="24"/>
              </w:rPr>
            </w:pPr>
            <w:proofErr w:type="spellStart"/>
            <w:r w:rsidRPr="004A276C">
              <w:rPr>
                <w:rFonts w:ascii="Courier New" w:eastAsia="Times New Roman" w:hAnsi="Courier New" w:cs="Courier New"/>
                <w:sz w:val="20"/>
                <w:szCs w:val="20"/>
              </w:rPr>
              <w:t>theta_true</w:t>
            </w:r>
            <w:proofErr w:type="spellEnd"/>
          </w:p>
        </w:tc>
        <w:tc>
          <w:tcPr>
            <w:tcW w:w="0" w:type="auto"/>
            <w:vAlign w:val="center"/>
            <w:hideMark/>
          </w:tcPr>
          <w:p w14:paraId="608C40D1"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3,891</w:t>
            </w:r>
          </w:p>
        </w:tc>
        <w:tc>
          <w:tcPr>
            <w:tcW w:w="0" w:type="auto"/>
            <w:vAlign w:val="center"/>
            <w:hideMark/>
          </w:tcPr>
          <w:p w14:paraId="7F9F6EC2"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True composition structure affects accuracy</w:t>
            </w:r>
          </w:p>
        </w:tc>
      </w:tr>
      <w:tr w:rsidR="004A276C" w:rsidRPr="004A276C" w14:paraId="70E1BE1E" w14:textId="77777777" w:rsidTr="004A276C">
        <w:trPr>
          <w:tblCellSpacing w:w="15" w:type="dxa"/>
        </w:trPr>
        <w:tc>
          <w:tcPr>
            <w:tcW w:w="0" w:type="auto"/>
            <w:vAlign w:val="center"/>
            <w:hideMark/>
          </w:tcPr>
          <w:p w14:paraId="32CC698B" w14:textId="77777777" w:rsidR="004A276C" w:rsidRPr="004A276C" w:rsidRDefault="004A276C" w:rsidP="004A276C">
            <w:pPr>
              <w:spacing w:after="0" w:line="240" w:lineRule="auto"/>
              <w:rPr>
                <w:rFonts w:ascii="Times New Roman" w:eastAsia="Times New Roman" w:hAnsi="Times New Roman" w:cs="Times New Roman"/>
                <w:sz w:val="24"/>
                <w:szCs w:val="24"/>
              </w:rPr>
            </w:pPr>
            <w:proofErr w:type="spellStart"/>
            <w:r w:rsidRPr="004A276C">
              <w:rPr>
                <w:rFonts w:ascii="Courier New" w:eastAsia="Times New Roman" w:hAnsi="Courier New" w:cs="Courier New"/>
                <w:sz w:val="20"/>
                <w:szCs w:val="20"/>
              </w:rPr>
              <w:lastRenderedPageBreak/>
              <w:t>metric:method</w:t>
            </w:r>
            <w:proofErr w:type="spellEnd"/>
          </w:p>
        </w:tc>
        <w:tc>
          <w:tcPr>
            <w:tcW w:w="0" w:type="auto"/>
            <w:vAlign w:val="center"/>
            <w:hideMark/>
          </w:tcPr>
          <w:p w14:paraId="66F9BE47"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1,615</w:t>
            </w:r>
          </w:p>
        </w:tc>
        <w:tc>
          <w:tcPr>
            <w:tcW w:w="0" w:type="auto"/>
            <w:vAlign w:val="center"/>
            <w:hideMark/>
          </w:tcPr>
          <w:p w14:paraId="1605A042"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Method performance depends on the error metric</w:t>
            </w:r>
          </w:p>
        </w:tc>
      </w:tr>
      <w:tr w:rsidR="004A276C" w:rsidRPr="004A276C" w14:paraId="5E1C0A21" w14:textId="77777777" w:rsidTr="004A276C">
        <w:trPr>
          <w:tblCellSpacing w:w="15" w:type="dxa"/>
        </w:trPr>
        <w:tc>
          <w:tcPr>
            <w:tcW w:w="0" w:type="auto"/>
            <w:vAlign w:val="center"/>
            <w:hideMark/>
          </w:tcPr>
          <w:p w14:paraId="1F47834E" w14:textId="77777777" w:rsidR="004A276C" w:rsidRPr="004A276C" w:rsidRDefault="004A276C" w:rsidP="004A276C">
            <w:pPr>
              <w:spacing w:after="0" w:line="240" w:lineRule="auto"/>
              <w:rPr>
                <w:rFonts w:ascii="Times New Roman" w:eastAsia="Times New Roman" w:hAnsi="Times New Roman" w:cs="Times New Roman"/>
                <w:sz w:val="24"/>
                <w:szCs w:val="24"/>
              </w:rPr>
            </w:pPr>
            <w:proofErr w:type="spellStart"/>
            <w:r w:rsidRPr="004A276C">
              <w:rPr>
                <w:rFonts w:ascii="Courier New" w:eastAsia="Times New Roman" w:hAnsi="Courier New" w:cs="Courier New"/>
                <w:sz w:val="20"/>
                <w:szCs w:val="20"/>
              </w:rPr>
              <w:t>theta_CV</w:t>
            </w:r>
            <w:proofErr w:type="spellEnd"/>
          </w:p>
        </w:tc>
        <w:tc>
          <w:tcPr>
            <w:tcW w:w="0" w:type="auto"/>
            <w:vAlign w:val="center"/>
            <w:hideMark/>
          </w:tcPr>
          <w:p w14:paraId="15850B4C"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250</w:t>
            </w:r>
          </w:p>
        </w:tc>
        <w:tc>
          <w:tcPr>
            <w:tcW w:w="0" w:type="auto"/>
            <w:vAlign w:val="center"/>
            <w:hideMark/>
          </w:tcPr>
          <w:p w14:paraId="2C0F32C9"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Smaller but still detectable effect</w:t>
            </w:r>
          </w:p>
        </w:tc>
      </w:tr>
      <w:tr w:rsidR="004A276C" w:rsidRPr="004A276C" w14:paraId="25808869" w14:textId="77777777" w:rsidTr="004A276C">
        <w:trPr>
          <w:tblCellSpacing w:w="15" w:type="dxa"/>
        </w:trPr>
        <w:tc>
          <w:tcPr>
            <w:tcW w:w="0" w:type="auto"/>
            <w:vAlign w:val="center"/>
            <w:hideMark/>
          </w:tcPr>
          <w:p w14:paraId="74BD8E45" w14:textId="77777777" w:rsidR="004A276C" w:rsidRPr="004A276C" w:rsidRDefault="004A276C" w:rsidP="004A276C">
            <w:pPr>
              <w:spacing w:after="0" w:line="240" w:lineRule="auto"/>
              <w:rPr>
                <w:rFonts w:ascii="Times New Roman" w:eastAsia="Times New Roman" w:hAnsi="Times New Roman" w:cs="Times New Roman"/>
                <w:sz w:val="24"/>
                <w:szCs w:val="24"/>
              </w:rPr>
            </w:pPr>
            <w:proofErr w:type="spellStart"/>
            <w:r w:rsidRPr="004A276C">
              <w:rPr>
                <w:rFonts w:ascii="Courier New" w:eastAsia="Times New Roman" w:hAnsi="Courier New" w:cs="Courier New"/>
                <w:sz w:val="20"/>
                <w:szCs w:val="20"/>
              </w:rPr>
              <w:t>mean_nsamp</w:t>
            </w:r>
            <w:proofErr w:type="spellEnd"/>
          </w:p>
        </w:tc>
        <w:tc>
          <w:tcPr>
            <w:tcW w:w="0" w:type="auto"/>
            <w:vAlign w:val="center"/>
            <w:hideMark/>
          </w:tcPr>
          <w:p w14:paraId="2707D7B1"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42.7</w:t>
            </w:r>
          </w:p>
        </w:tc>
        <w:tc>
          <w:tcPr>
            <w:tcW w:w="0" w:type="auto"/>
            <w:vAlign w:val="center"/>
            <w:hideMark/>
          </w:tcPr>
          <w:p w14:paraId="72EA670E"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Statistically significant but comparatively weak</w:t>
            </w:r>
          </w:p>
        </w:tc>
      </w:tr>
      <w:tr w:rsidR="004A276C" w:rsidRPr="004A276C" w14:paraId="04E0FAE4" w14:textId="77777777" w:rsidTr="004A276C">
        <w:trPr>
          <w:tblCellSpacing w:w="15" w:type="dxa"/>
        </w:trPr>
        <w:tc>
          <w:tcPr>
            <w:tcW w:w="0" w:type="auto"/>
            <w:vAlign w:val="center"/>
            <w:hideMark/>
          </w:tcPr>
          <w:p w14:paraId="4EFDF597"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Courier New" w:eastAsia="Times New Roman" w:hAnsi="Courier New" w:cs="Courier New"/>
                <w:sz w:val="20"/>
                <w:szCs w:val="20"/>
              </w:rPr>
              <w:t>method</w:t>
            </w:r>
          </w:p>
        </w:tc>
        <w:tc>
          <w:tcPr>
            <w:tcW w:w="0" w:type="auto"/>
            <w:vAlign w:val="center"/>
            <w:hideMark/>
          </w:tcPr>
          <w:p w14:paraId="7FC38CB3" w14:textId="77777777" w:rsidR="004A276C" w:rsidRPr="004A276C" w:rsidRDefault="004A276C" w:rsidP="004A276C">
            <w:pPr>
              <w:spacing w:after="0" w:line="240" w:lineRule="auto"/>
              <w:jc w:val="right"/>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8.1</w:t>
            </w:r>
          </w:p>
        </w:tc>
        <w:tc>
          <w:tcPr>
            <w:tcW w:w="0" w:type="auto"/>
            <w:vAlign w:val="center"/>
            <w:hideMark/>
          </w:tcPr>
          <w:p w14:paraId="0BF9AFFC"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Method main effect is modest after accounting for surfaces and metrics</w:t>
            </w:r>
          </w:p>
        </w:tc>
      </w:tr>
    </w:tbl>
    <w:p w14:paraId="4605B3FA"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This hierarchy says that the method comparison should not be reduced to a single global method coefficient. The </w:t>
      </w:r>
      <w:r w:rsidRPr="004A276C">
        <w:rPr>
          <w:rFonts w:ascii="Times New Roman" w:eastAsia="Times New Roman" w:hAnsi="Times New Roman" w:cs="Times New Roman"/>
          <w:b/>
          <w:bCs/>
          <w:sz w:val="24"/>
          <w:szCs w:val="24"/>
        </w:rPr>
        <w:t>method-by-metric interaction</w:t>
      </w:r>
      <w:r w:rsidRPr="004A276C">
        <w:rPr>
          <w:rFonts w:ascii="Times New Roman" w:eastAsia="Times New Roman" w:hAnsi="Times New Roman" w:cs="Times New Roman"/>
          <w:sz w:val="24"/>
          <w:szCs w:val="24"/>
        </w:rPr>
        <w:t xml:space="preserve"> and the </w:t>
      </w:r>
      <w:r w:rsidRPr="004A276C">
        <w:rPr>
          <w:rFonts w:ascii="Times New Roman" w:eastAsia="Times New Roman" w:hAnsi="Times New Roman" w:cs="Times New Roman"/>
          <w:b/>
          <w:bCs/>
          <w:sz w:val="24"/>
          <w:szCs w:val="24"/>
        </w:rPr>
        <w:t>method-specific probability surfaces</w:t>
      </w:r>
      <w:r w:rsidRPr="004A276C">
        <w:rPr>
          <w:rFonts w:ascii="Times New Roman" w:eastAsia="Times New Roman" w:hAnsi="Times New Roman" w:cs="Times New Roman"/>
          <w:sz w:val="24"/>
          <w:szCs w:val="24"/>
        </w:rPr>
        <w:t xml:space="preserve"> are more informative than the marginal method main effect.</w:t>
      </w:r>
    </w:p>
    <w:p w14:paraId="63D64BAB"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pict w14:anchorId="72B6EF6E">
          <v:rect id="_x0000_i1026" style="width:0;height:1.5pt" o:hralign="center" o:hrstd="t" o:hr="t" fillcolor="#a0a0a0" stroked="f"/>
        </w:pict>
      </w:r>
    </w:p>
    <w:p w14:paraId="2F21D4C3"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2. Method and metric effects</w:t>
      </w:r>
    </w:p>
    <w:p w14:paraId="3FEBF70F"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Method ii is the clearest poor performer in the global fixed-effect table. Relative to Method </w:t>
      </w:r>
      <w:proofErr w:type="spellStart"/>
      <w:r w:rsidRPr="004A276C">
        <w:rPr>
          <w:rFonts w:ascii="Times New Roman" w:eastAsia="Times New Roman" w:hAnsi="Times New Roman" w:cs="Times New Roman"/>
          <w:sz w:val="24"/>
          <w:szCs w:val="24"/>
        </w:rPr>
        <w:t>i</w:t>
      </w:r>
      <w:proofErr w:type="spellEnd"/>
      <w:r w:rsidRPr="004A276C">
        <w:rPr>
          <w:rFonts w:ascii="Times New Roman" w:eastAsia="Times New Roman" w:hAnsi="Times New Roman" w:cs="Times New Roman"/>
          <w:sz w:val="24"/>
          <w:szCs w:val="24"/>
        </w:rPr>
        <w:t xml:space="preserve"> under the RMSE reference condition, Method ii has a positive coefficient of about </w:t>
      </w:r>
      <w:r w:rsidRPr="004A276C">
        <w:rPr>
          <w:rFonts w:ascii="Times New Roman" w:eastAsia="Times New Roman" w:hAnsi="Times New Roman" w:cs="Times New Roman"/>
          <w:b/>
          <w:bCs/>
          <w:sz w:val="24"/>
          <w:szCs w:val="24"/>
        </w:rPr>
        <w:t>0.032</w:t>
      </w:r>
      <w:r w:rsidRPr="004A276C">
        <w:rPr>
          <w:rFonts w:ascii="Times New Roman" w:eastAsia="Times New Roman" w:hAnsi="Times New Roman" w:cs="Times New Roman"/>
          <w:sz w:val="24"/>
          <w:szCs w:val="24"/>
        </w:rPr>
        <w:t xml:space="preserve">, implying larger log-error. Its interactions with L1 and </w:t>
      </w:r>
      <w:proofErr w:type="spellStart"/>
      <w:r w:rsidRPr="004A276C">
        <w:rPr>
          <w:rFonts w:ascii="Times New Roman" w:eastAsia="Times New Roman" w:hAnsi="Times New Roman" w:cs="Times New Roman"/>
          <w:sz w:val="24"/>
          <w:szCs w:val="24"/>
        </w:rPr>
        <w:t>Linf</w:t>
      </w:r>
      <w:proofErr w:type="spellEnd"/>
      <w:r w:rsidRPr="004A276C">
        <w:rPr>
          <w:rFonts w:ascii="Times New Roman" w:eastAsia="Times New Roman" w:hAnsi="Times New Roman" w:cs="Times New Roman"/>
          <w:sz w:val="24"/>
          <w:szCs w:val="24"/>
        </w:rPr>
        <w:t xml:space="preserve"> are also positive, so its disadvantage persists or increases under the other metrics.</w:t>
      </w:r>
    </w:p>
    <w:p w14:paraId="5A71D975"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Methods iii, iv, and v are not meaningfully different from Method </w:t>
      </w:r>
      <w:proofErr w:type="spellStart"/>
      <w:r w:rsidRPr="004A276C">
        <w:rPr>
          <w:rFonts w:ascii="Times New Roman" w:eastAsia="Times New Roman" w:hAnsi="Times New Roman" w:cs="Times New Roman"/>
          <w:sz w:val="24"/>
          <w:szCs w:val="24"/>
        </w:rPr>
        <w:t>i</w:t>
      </w:r>
      <w:proofErr w:type="spellEnd"/>
      <w:r w:rsidRPr="004A276C">
        <w:rPr>
          <w:rFonts w:ascii="Times New Roman" w:eastAsia="Times New Roman" w:hAnsi="Times New Roman" w:cs="Times New Roman"/>
          <w:sz w:val="24"/>
          <w:szCs w:val="24"/>
        </w:rPr>
        <w:t xml:space="preserve"> under the RMSE reference condition based on the main-effect coefficients. However, their interactions with L1 and </w:t>
      </w:r>
      <w:proofErr w:type="spellStart"/>
      <w:r w:rsidRPr="004A276C">
        <w:rPr>
          <w:rFonts w:ascii="Times New Roman" w:eastAsia="Times New Roman" w:hAnsi="Times New Roman" w:cs="Times New Roman"/>
          <w:sz w:val="24"/>
          <w:szCs w:val="24"/>
        </w:rPr>
        <w:t>Linf</w:t>
      </w:r>
      <w:proofErr w:type="spellEnd"/>
      <w:r w:rsidRPr="004A276C">
        <w:rPr>
          <w:rFonts w:ascii="Times New Roman" w:eastAsia="Times New Roman" w:hAnsi="Times New Roman" w:cs="Times New Roman"/>
          <w:sz w:val="24"/>
          <w:szCs w:val="24"/>
        </w:rPr>
        <w:t xml:space="preserve"> are negative. This indicates that methods iii, iv, and v look relatively better when accuracy is evaluated by L1 and </w:t>
      </w:r>
      <w:proofErr w:type="spellStart"/>
      <w:r w:rsidRPr="004A276C">
        <w:rPr>
          <w:rFonts w:ascii="Times New Roman" w:eastAsia="Times New Roman" w:hAnsi="Times New Roman" w:cs="Times New Roman"/>
          <w:sz w:val="24"/>
          <w:szCs w:val="24"/>
        </w:rPr>
        <w:t>Linf</w:t>
      </w:r>
      <w:proofErr w:type="spellEnd"/>
      <w:r w:rsidRPr="004A276C">
        <w:rPr>
          <w:rFonts w:ascii="Times New Roman" w:eastAsia="Times New Roman" w:hAnsi="Times New Roman" w:cs="Times New Roman"/>
          <w:sz w:val="24"/>
          <w:szCs w:val="24"/>
        </w:rPr>
        <w:t xml:space="preserve"> rather than by RMSE.</w:t>
      </w:r>
    </w:p>
    <w:p w14:paraId="5CB043A1"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practical interpretation is that </w:t>
      </w:r>
      <w:r w:rsidRPr="004A276C">
        <w:rPr>
          <w:rFonts w:ascii="Times New Roman" w:eastAsia="Times New Roman" w:hAnsi="Times New Roman" w:cs="Times New Roman"/>
          <w:b/>
          <w:bCs/>
          <w:sz w:val="24"/>
          <w:szCs w:val="24"/>
        </w:rPr>
        <w:t>method ranking is metric-dependent</w:t>
      </w:r>
      <w:r w:rsidRPr="004A276C">
        <w:rPr>
          <w:rFonts w:ascii="Times New Roman" w:eastAsia="Times New Roman" w:hAnsi="Times New Roman" w:cs="Times New Roman"/>
          <w:sz w:val="24"/>
          <w:szCs w:val="24"/>
        </w:rPr>
        <w:t xml:space="preserve">. RMSE emphasizes squared-error behavior, L1 emphasizes total absolute deviation, and </w:t>
      </w:r>
      <w:proofErr w:type="spellStart"/>
      <w:r w:rsidRPr="004A276C">
        <w:rPr>
          <w:rFonts w:ascii="Times New Roman" w:eastAsia="Times New Roman" w:hAnsi="Times New Roman" w:cs="Times New Roman"/>
          <w:sz w:val="24"/>
          <w:szCs w:val="24"/>
        </w:rPr>
        <w:t>Linf</w:t>
      </w:r>
      <w:proofErr w:type="spellEnd"/>
      <w:r w:rsidRPr="004A276C">
        <w:rPr>
          <w:rFonts w:ascii="Times New Roman" w:eastAsia="Times New Roman" w:hAnsi="Times New Roman" w:cs="Times New Roman"/>
          <w:sz w:val="24"/>
          <w:szCs w:val="24"/>
        </w:rPr>
        <w:t xml:space="preserve"> emphasizes maximum component error. The significant </w:t>
      </w:r>
      <w:proofErr w:type="spellStart"/>
      <w:r w:rsidRPr="004A276C">
        <w:rPr>
          <w:rFonts w:ascii="Courier New" w:eastAsia="Times New Roman" w:hAnsi="Courier New" w:cs="Courier New"/>
          <w:sz w:val="20"/>
          <w:szCs w:val="20"/>
        </w:rPr>
        <w:t>metric:method</w:t>
      </w:r>
      <w:proofErr w:type="spellEnd"/>
      <w:r w:rsidRPr="004A276C">
        <w:rPr>
          <w:rFonts w:ascii="Times New Roman" w:eastAsia="Times New Roman" w:hAnsi="Times New Roman" w:cs="Times New Roman"/>
          <w:sz w:val="24"/>
          <w:szCs w:val="24"/>
        </w:rPr>
        <w:t xml:space="preserve"> term confirms that no single scalar ranking is fully adequate unless the intended loss function is specified.</w:t>
      </w:r>
    </w:p>
    <w:p w14:paraId="711F676E"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pict w14:anchorId="6F0C4439">
          <v:rect id="_x0000_i1027" style="width:0;height:1.5pt" o:hralign="center" o:hrstd="t" o:hr="t" fillcolor="#a0a0a0" stroked="f"/>
        </w:pict>
      </w:r>
    </w:p>
    <w:p w14:paraId="5CCFCF09"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3. Probability-space morphology</w:t>
      </w:r>
    </w:p>
    <w:p w14:paraId="2B4671A6"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w:t>
      </w:r>
      <w:r w:rsidRPr="004A276C">
        <w:rPr>
          <w:rFonts w:ascii="Courier New" w:eastAsia="Times New Roman" w:hAnsi="Courier New" w:cs="Courier New"/>
          <w:sz w:val="20"/>
          <w:szCs w:val="20"/>
        </w:rPr>
        <w:t>gratia::draw()</w:t>
      </w:r>
      <w:r w:rsidRPr="004A276C">
        <w:rPr>
          <w:rFonts w:ascii="Times New Roman" w:eastAsia="Times New Roman" w:hAnsi="Times New Roman" w:cs="Times New Roman"/>
          <w:sz w:val="24"/>
          <w:szCs w:val="24"/>
        </w:rPr>
        <w:t xml:space="preserve"> smooth plots and the </w:t>
      </w:r>
      <w:proofErr w:type="spellStart"/>
      <w:r w:rsidRPr="004A276C">
        <w:rPr>
          <w:rFonts w:ascii="Courier New" w:eastAsia="Times New Roman" w:hAnsi="Courier New" w:cs="Courier New"/>
          <w:sz w:val="20"/>
          <w:szCs w:val="20"/>
        </w:rPr>
        <w:t>vis.gam</w:t>
      </w:r>
      <w:proofErr w:type="spellEnd"/>
      <w:r w:rsidRPr="004A276C">
        <w:rPr>
          <w:rFonts w:ascii="Courier New" w:eastAsia="Times New Roman" w:hAnsi="Courier New" w:cs="Courier New"/>
          <w:sz w:val="20"/>
          <w:szCs w:val="20"/>
        </w:rPr>
        <w:t>()</w:t>
      </w:r>
      <w:r w:rsidRPr="004A276C">
        <w:rPr>
          <w:rFonts w:ascii="Times New Roman" w:eastAsia="Times New Roman" w:hAnsi="Times New Roman" w:cs="Times New Roman"/>
          <w:sz w:val="24"/>
          <w:szCs w:val="24"/>
        </w:rPr>
        <w:t xml:space="preserve"> surface panels show a consistent surface structure across methods. The partial effects are generally higher in the low-</w:t>
      </w:r>
      <w:r w:rsidRPr="004A276C">
        <w:rPr>
          <w:rFonts w:ascii="Courier New" w:eastAsia="Times New Roman" w:hAnsi="Courier New" w:cs="Courier New"/>
          <w:sz w:val="20"/>
          <w:szCs w:val="20"/>
        </w:rPr>
        <w:t>p1</w:t>
      </w:r>
      <w:r w:rsidRPr="004A276C">
        <w:rPr>
          <w:rFonts w:ascii="Times New Roman" w:eastAsia="Times New Roman" w:hAnsi="Times New Roman" w:cs="Times New Roman"/>
          <w:sz w:val="24"/>
          <w:szCs w:val="24"/>
        </w:rPr>
        <w:t xml:space="preserve"> / high-</w:t>
      </w:r>
      <w:r w:rsidRPr="004A276C">
        <w:rPr>
          <w:rFonts w:ascii="Courier New" w:eastAsia="Times New Roman" w:hAnsi="Courier New" w:cs="Courier New"/>
          <w:sz w:val="20"/>
          <w:szCs w:val="20"/>
        </w:rPr>
        <w:t>p2</w:t>
      </w:r>
      <w:r w:rsidRPr="004A276C">
        <w:rPr>
          <w:rFonts w:ascii="Times New Roman" w:eastAsia="Times New Roman" w:hAnsi="Times New Roman" w:cs="Times New Roman"/>
          <w:sz w:val="24"/>
          <w:szCs w:val="24"/>
        </w:rPr>
        <w:t xml:space="preserve"> portion of the simplex and lower in the high-</w:t>
      </w:r>
      <w:r w:rsidRPr="004A276C">
        <w:rPr>
          <w:rFonts w:ascii="Courier New" w:eastAsia="Times New Roman" w:hAnsi="Courier New" w:cs="Courier New"/>
          <w:sz w:val="20"/>
          <w:szCs w:val="20"/>
        </w:rPr>
        <w:t>p1</w:t>
      </w:r>
      <w:r w:rsidRPr="004A276C">
        <w:rPr>
          <w:rFonts w:ascii="Times New Roman" w:eastAsia="Times New Roman" w:hAnsi="Times New Roman" w:cs="Times New Roman"/>
          <w:sz w:val="24"/>
          <w:szCs w:val="24"/>
        </w:rPr>
        <w:t xml:space="preserve"> / low-</w:t>
      </w:r>
      <w:r w:rsidRPr="004A276C">
        <w:rPr>
          <w:rFonts w:ascii="Courier New" w:eastAsia="Times New Roman" w:hAnsi="Courier New" w:cs="Courier New"/>
          <w:sz w:val="20"/>
          <w:szCs w:val="20"/>
        </w:rPr>
        <w:t>p2</w:t>
      </w:r>
      <w:r w:rsidRPr="004A276C">
        <w:rPr>
          <w:rFonts w:ascii="Times New Roman" w:eastAsia="Times New Roman" w:hAnsi="Times New Roman" w:cs="Times New Roman"/>
          <w:sz w:val="24"/>
          <w:szCs w:val="24"/>
        </w:rPr>
        <w:t xml:space="preserve"> portion. In plain terms, the estimator error is not uniform across the composition space.</w:t>
      </w:r>
    </w:p>
    <w:p w14:paraId="4882BDED"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strongest visual result is the diagonal transition across the feasible simplex. As </w:t>
      </w:r>
      <w:r w:rsidRPr="004A276C">
        <w:rPr>
          <w:rFonts w:ascii="Courier New" w:eastAsia="Times New Roman" w:hAnsi="Courier New" w:cs="Courier New"/>
          <w:sz w:val="20"/>
          <w:szCs w:val="20"/>
        </w:rPr>
        <w:t>p1</w:t>
      </w:r>
      <w:r w:rsidRPr="004A276C">
        <w:rPr>
          <w:rFonts w:ascii="Times New Roman" w:eastAsia="Times New Roman" w:hAnsi="Times New Roman" w:cs="Times New Roman"/>
          <w:sz w:val="24"/>
          <w:szCs w:val="24"/>
        </w:rPr>
        <w:t xml:space="preserve"> increases and </w:t>
      </w:r>
      <w:r w:rsidRPr="004A276C">
        <w:rPr>
          <w:rFonts w:ascii="Courier New" w:eastAsia="Times New Roman" w:hAnsi="Courier New" w:cs="Courier New"/>
          <w:sz w:val="20"/>
          <w:szCs w:val="20"/>
        </w:rPr>
        <w:t>p2</w:t>
      </w:r>
      <w:r w:rsidRPr="004A276C">
        <w:rPr>
          <w:rFonts w:ascii="Times New Roman" w:eastAsia="Times New Roman" w:hAnsi="Times New Roman" w:cs="Times New Roman"/>
          <w:sz w:val="24"/>
          <w:szCs w:val="24"/>
        </w:rPr>
        <w:t xml:space="preserve"> decreases, the partial effect usually shifts from positive to negative. Since positive partial effects correspond to larger log-error relative to the centered smooth, this means that the methods tend to perform better in the high-</w:t>
      </w:r>
      <w:r w:rsidRPr="004A276C">
        <w:rPr>
          <w:rFonts w:ascii="Courier New" w:eastAsia="Times New Roman" w:hAnsi="Courier New" w:cs="Courier New"/>
          <w:sz w:val="20"/>
          <w:szCs w:val="20"/>
        </w:rPr>
        <w:t>p1</w:t>
      </w:r>
      <w:r w:rsidRPr="004A276C">
        <w:rPr>
          <w:rFonts w:ascii="Times New Roman" w:eastAsia="Times New Roman" w:hAnsi="Times New Roman" w:cs="Times New Roman"/>
          <w:sz w:val="24"/>
          <w:szCs w:val="24"/>
        </w:rPr>
        <w:t>, low-</w:t>
      </w:r>
      <w:r w:rsidRPr="004A276C">
        <w:rPr>
          <w:rFonts w:ascii="Courier New" w:eastAsia="Times New Roman" w:hAnsi="Courier New" w:cs="Courier New"/>
          <w:sz w:val="20"/>
          <w:szCs w:val="20"/>
        </w:rPr>
        <w:t>p2</w:t>
      </w:r>
      <w:r w:rsidRPr="004A276C">
        <w:rPr>
          <w:rFonts w:ascii="Times New Roman" w:eastAsia="Times New Roman" w:hAnsi="Times New Roman" w:cs="Times New Roman"/>
          <w:sz w:val="24"/>
          <w:szCs w:val="24"/>
        </w:rPr>
        <w:t xml:space="preserve"> region and worse in the lower-</w:t>
      </w:r>
      <w:r w:rsidRPr="004A276C">
        <w:rPr>
          <w:rFonts w:ascii="Courier New" w:eastAsia="Times New Roman" w:hAnsi="Courier New" w:cs="Courier New"/>
          <w:sz w:val="20"/>
          <w:szCs w:val="20"/>
        </w:rPr>
        <w:t>p1</w:t>
      </w:r>
      <w:r w:rsidRPr="004A276C">
        <w:rPr>
          <w:rFonts w:ascii="Times New Roman" w:eastAsia="Times New Roman" w:hAnsi="Times New Roman" w:cs="Times New Roman"/>
          <w:sz w:val="24"/>
          <w:szCs w:val="24"/>
        </w:rPr>
        <w:t>, higher-</w:t>
      </w:r>
      <w:r w:rsidRPr="004A276C">
        <w:rPr>
          <w:rFonts w:ascii="Courier New" w:eastAsia="Times New Roman" w:hAnsi="Courier New" w:cs="Courier New"/>
          <w:sz w:val="20"/>
          <w:szCs w:val="20"/>
        </w:rPr>
        <w:t>p2</w:t>
      </w:r>
      <w:r w:rsidRPr="004A276C">
        <w:rPr>
          <w:rFonts w:ascii="Times New Roman" w:eastAsia="Times New Roman" w:hAnsi="Times New Roman" w:cs="Times New Roman"/>
          <w:sz w:val="24"/>
          <w:szCs w:val="24"/>
        </w:rPr>
        <w:t xml:space="preserve"> region.</w:t>
      </w:r>
    </w:p>
    <w:p w14:paraId="5ABD1805"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Method ii has a somewhat distinct surface shape and a higher global offset, which reinforces its poorer global behavior. Methods iii, iv, and v have broadly similar surface morphology, but the signed comparison of v versus iii shows that small local differences matter.</w:t>
      </w:r>
    </w:p>
    <w:p w14:paraId="234F5960"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pict w14:anchorId="44A222E3">
          <v:rect id="_x0000_i1028" style="width:0;height:1.5pt" o:hralign="center" o:hrstd="t" o:hr="t" fillcolor="#a0a0a0" stroked="f"/>
        </w:pict>
      </w:r>
    </w:p>
    <w:p w14:paraId="36247E62"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4. Basis-dimension adequacy</w:t>
      </w:r>
    </w:p>
    <w:p w14:paraId="31114C85"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The basis-dimension diagnostics are acceptable.</w:t>
      </w:r>
    </w:p>
    <w:p w14:paraId="7FB158C3"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lastRenderedPageBreak/>
        <w:t xml:space="preserve">For the global GAM, the smooths have </w:t>
      </w:r>
      <w:proofErr w:type="spellStart"/>
      <w:r w:rsidRPr="004A276C">
        <w:rPr>
          <w:rFonts w:ascii="Times New Roman" w:eastAsia="Times New Roman" w:hAnsi="Times New Roman" w:cs="Times New Roman"/>
          <w:sz w:val="24"/>
          <w:szCs w:val="24"/>
        </w:rPr>
        <w:t>edf</w:t>
      </w:r>
      <w:proofErr w:type="spellEnd"/>
      <w:r w:rsidRPr="004A276C">
        <w:rPr>
          <w:rFonts w:ascii="Times New Roman" w:eastAsia="Times New Roman" w:hAnsi="Times New Roman" w:cs="Times New Roman"/>
          <w:sz w:val="24"/>
          <w:szCs w:val="24"/>
        </w:rPr>
        <w:t xml:space="preserve"> values from about </w:t>
      </w:r>
      <w:r w:rsidRPr="004A276C">
        <w:rPr>
          <w:rFonts w:ascii="Times New Roman" w:eastAsia="Times New Roman" w:hAnsi="Times New Roman" w:cs="Times New Roman"/>
          <w:b/>
          <w:bCs/>
          <w:sz w:val="24"/>
          <w:szCs w:val="24"/>
        </w:rPr>
        <w:t>16.3 to 17.8</w:t>
      </w:r>
      <w:r w:rsidRPr="004A276C">
        <w:rPr>
          <w:rFonts w:ascii="Times New Roman" w:eastAsia="Times New Roman" w:hAnsi="Times New Roman" w:cs="Times New Roman"/>
          <w:sz w:val="24"/>
          <w:szCs w:val="24"/>
        </w:rPr>
        <w:t xml:space="preserve"> against </w:t>
      </w:r>
      <w:r w:rsidRPr="004A276C">
        <w:rPr>
          <w:rFonts w:ascii="Courier New" w:eastAsia="Times New Roman" w:hAnsi="Courier New" w:cs="Courier New"/>
          <w:sz w:val="20"/>
          <w:szCs w:val="20"/>
        </w:rPr>
        <w:t>k' = 19</w:t>
      </w:r>
      <w:r w:rsidRPr="004A276C">
        <w:rPr>
          <w:rFonts w:ascii="Times New Roman" w:eastAsia="Times New Roman" w:hAnsi="Times New Roman" w:cs="Times New Roman"/>
          <w:sz w:val="24"/>
          <w:szCs w:val="24"/>
        </w:rPr>
        <w:t xml:space="preserve">, and all k-index values are about </w:t>
      </w:r>
      <w:r w:rsidRPr="004A276C">
        <w:rPr>
          <w:rFonts w:ascii="Times New Roman" w:eastAsia="Times New Roman" w:hAnsi="Times New Roman" w:cs="Times New Roman"/>
          <w:b/>
          <w:bCs/>
          <w:sz w:val="24"/>
          <w:szCs w:val="24"/>
        </w:rPr>
        <w:t>0.98</w:t>
      </w:r>
      <w:r w:rsidRPr="004A276C">
        <w:rPr>
          <w:rFonts w:ascii="Times New Roman" w:eastAsia="Times New Roman" w:hAnsi="Times New Roman" w:cs="Times New Roman"/>
          <w:sz w:val="24"/>
          <w:szCs w:val="24"/>
        </w:rPr>
        <w:t xml:space="preserve"> with p-values above 0.14. This is close enough to the upper basis limit to justify checking, but the k-index results do not indicate underfitting.</w:t>
      </w:r>
    </w:p>
    <w:p w14:paraId="51A737DC"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For the Method v minus Method iii difference GAM, the smooths have </w:t>
      </w:r>
      <w:proofErr w:type="spellStart"/>
      <w:r w:rsidRPr="004A276C">
        <w:rPr>
          <w:rFonts w:ascii="Times New Roman" w:eastAsia="Times New Roman" w:hAnsi="Times New Roman" w:cs="Times New Roman"/>
          <w:sz w:val="24"/>
          <w:szCs w:val="24"/>
        </w:rPr>
        <w:t>edf</w:t>
      </w:r>
      <w:proofErr w:type="spellEnd"/>
      <w:r w:rsidRPr="004A276C">
        <w:rPr>
          <w:rFonts w:ascii="Times New Roman" w:eastAsia="Times New Roman" w:hAnsi="Times New Roman" w:cs="Times New Roman"/>
          <w:sz w:val="24"/>
          <w:szCs w:val="24"/>
        </w:rPr>
        <w:t xml:space="preserve"> values of </w:t>
      </w:r>
      <w:r w:rsidRPr="004A276C">
        <w:rPr>
          <w:rFonts w:ascii="Times New Roman" w:eastAsia="Times New Roman" w:hAnsi="Times New Roman" w:cs="Times New Roman"/>
          <w:b/>
          <w:bCs/>
          <w:sz w:val="24"/>
          <w:szCs w:val="24"/>
        </w:rPr>
        <w:t>12.0</w:t>
      </w:r>
      <w:r w:rsidRPr="004A276C">
        <w:rPr>
          <w:rFonts w:ascii="Times New Roman" w:eastAsia="Times New Roman" w:hAnsi="Times New Roman" w:cs="Times New Roman"/>
          <w:sz w:val="24"/>
          <w:szCs w:val="24"/>
        </w:rPr>
        <w:t xml:space="preserve">, </w:t>
      </w:r>
      <w:r w:rsidRPr="004A276C">
        <w:rPr>
          <w:rFonts w:ascii="Times New Roman" w:eastAsia="Times New Roman" w:hAnsi="Times New Roman" w:cs="Times New Roman"/>
          <w:b/>
          <w:bCs/>
          <w:sz w:val="24"/>
          <w:szCs w:val="24"/>
        </w:rPr>
        <w:t>16.0</w:t>
      </w:r>
      <w:r w:rsidRPr="004A276C">
        <w:rPr>
          <w:rFonts w:ascii="Times New Roman" w:eastAsia="Times New Roman" w:hAnsi="Times New Roman" w:cs="Times New Roman"/>
          <w:sz w:val="24"/>
          <w:szCs w:val="24"/>
        </w:rPr>
        <w:t xml:space="preserve">, and </w:t>
      </w:r>
      <w:r w:rsidRPr="004A276C">
        <w:rPr>
          <w:rFonts w:ascii="Times New Roman" w:eastAsia="Times New Roman" w:hAnsi="Times New Roman" w:cs="Times New Roman"/>
          <w:b/>
          <w:bCs/>
          <w:sz w:val="24"/>
          <w:szCs w:val="24"/>
        </w:rPr>
        <w:t>13.5</w:t>
      </w:r>
      <w:r w:rsidRPr="004A276C">
        <w:rPr>
          <w:rFonts w:ascii="Times New Roman" w:eastAsia="Times New Roman" w:hAnsi="Times New Roman" w:cs="Times New Roman"/>
          <w:sz w:val="24"/>
          <w:szCs w:val="24"/>
        </w:rPr>
        <w:t xml:space="preserve">, with k-index values near </w:t>
      </w:r>
      <w:r w:rsidRPr="004A276C">
        <w:rPr>
          <w:rFonts w:ascii="Times New Roman" w:eastAsia="Times New Roman" w:hAnsi="Times New Roman" w:cs="Times New Roman"/>
          <w:b/>
          <w:bCs/>
          <w:sz w:val="24"/>
          <w:szCs w:val="24"/>
        </w:rPr>
        <w:t>0.99</w:t>
      </w:r>
      <w:r w:rsidRPr="004A276C">
        <w:rPr>
          <w:rFonts w:ascii="Times New Roman" w:eastAsia="Times New Roman" w:hAnsi="Times New Roman" w:cs="Times New Roman"/>
          <w:sz w:val="24"/>
          <w:szCs w:val="24"/>
        </w:rPr>
        <w:t xml:space="preserve"> and p-values from </w:t>
      </w:r>
      <w:r w:rsidRPr="004A276C">
        <w:rPr>
          <w:rFonts w:ascii="Times New Roman" w:eastAsia="Times New Roman" w:hAnsi="Times New Roman" w:cs="Times New Roman"/>
          <w:b/>
          <w:bCs/>
          <w:sz w:val="24"/>
          <w:szCs w:val="24"/>
        </w:rPr>
        <w:t>0.40 to 0.50</w:t>
      </w:r>
      <w:r w:rsidRPr="004A276C">
        <w:rPr>
          <w:rFonts w:ascii="Times New Roman" w:eastAsia="Times New Roman" w:hAnsi="Times New Roman" w:cs="Times New Roman"/>
          <w:sz w:val="24"/>
          <w:szCs w:val="24"/>
        </w:rPr>
        <w:t xml:space="preserve">. For the signed log-ratio GAM, the smooths have </w:t>
      </w:r>
      <w:proofErr w:type="spellStart"/>
      <w:r w:rsidRPr="004A276C">
        <w:rPr>
          <w:rFonts w:ascii="Times New Roman" w:eastAsia="Times New Roman" w:hAnsi="Times New Roman" w:cs="Times New Roman"/>
          <w:sz w:val="24"/>
          <w:szCs w:val="24"/>
        </w:rPr>
        <w:t>edf</w:t>
      </w:r>
      <w:proofErr w:type="spellEnd"/>
      <w:r w:rsidRPr="004A276C">
        <w:rPr>
          <w:rFonts w:ascii="Times New Roman" w:eastAsia="Times New Roman" w:hAnsi="Times New Roman" w:cs="Times New Roman"/>
          <w:sz w:val="24"/>
          <w:szCs w:val="24"/>
        </w:rPr>
        <w:t xml:space="preserve"> values near </w:t>
      </w:r>
      <w:r w:rsidRPr="004A276C">
        <w:rPr>
          <w:rFonts w:ascii="Times New Roman" w:eastAsia="Times New Roman" w:hAnsi="Times New Roman" w:cs="Times New Roman"/>
          <w:b/>
          <w:bCs/>
          <w:sz w:val="24"/>
          <w:szCs w:val="24"/>
        </w:rPr>
        <w:t>14.5–15.3</w:t>
      </w:r>
      <w:r w:rsidRPr="004A276C">
        <w:rPr>
          <w:rFonts w:ascii="Times New Roman" w:eastAsia="Times New Roman" w:hAnsi="Times New Roman" w:cs="Times New Roman"/>
          <w:sz w:val="24"/>
          <w:szCs w:val="24"/>
        </w:rPr>
        <w:t xml:space="preserve">, k-index values near </w:t>
      </w:r>
      <w:r w:rsidRPr="004A276C">
        <w:rPr>
          <w:rFonts w:ascii="Times New Roman" w:eastAsia="Times New Roman" w:hAnsi="Times New Roman" w:cs="Times New Roman"/>
          <w:b/>
          <w:bCs/>
          <w:sz w:val="24"/>
          <w:szCs w:val="24"/>
        </w:rPr>
        <w:t>0.98</w:t>
      </w:r>
      <w:r w:rsidRPr="004A276C">
        <w:rPr>
          <w:rFonts w:ascii="Times New Roman" w:eastAsia="Times New Roman" w:hAnsi="Times New Roman" w:cs="Times New Roman"/>
          <w:sz w:val="24"/>
          <w:szCs w:val="24"/>
        </w:rPr>
        <w:t xml:space="preserve">, and p-values from </w:t>
      </w:r>
      <w:r w:rsidRPr="004A276C">
        <w:rPr>
          <w:rFonts w:ascii="Times New Roman" w:eastAsia="Times New Roman" w:hAnsi="Times New Roman" w:cs="Times New Roman"/>
          <w:b/>
          <w:bCs/>
          <w:sz w:val="24"/>
          <w:szCs w:val="24"/>
        </w:rPr>
        <w:t>0.28 to 0.34</w:t>
      </w:r>
      <w:r w:rsidRPr="004A276C">
        <w:rPr>
          <w:rFonts w:ascii="Times New Roman" w:eastAsia="Times New Roman" w:hAnsi="Times New Roman" w:cs="Times New Roman"/>
          <w:sz w:val="24"/>
          <w:szCs w:val="24"/>
        </w:rPr>
        <w:t>. These results are reassuring.</w:t>
      </w:r>
    </w:p>
    <w:p w14:paraId="1716D90D"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important caveat is that this output does </w:t>
      </w:r>
      <w:r w:rsidRPr="004A276C">
        <w:rPr>
          <w:rFonts w:ascii="Times New Roman" w:eastAsia="Times New Roman" w:hAnsi="Times New Roman" w:cs="Times New Roman"/>
          <w:b/>
          <w:bCs/>
          <w:sz w:val="24"/>
          <w:szCs w:val="24"/>
        </w:rPr>
        <w:t>not</w:t>
      </w:r>
      <w:r w:rsidRPr="004A276C">
        <w:rPr>
          <w:rFonts w:ascii="Times New Roman" w:eastAsia="Times New Roman" w:hAnsi="Times New Roman" w:cs="Times New Roman"/>
          <w:sz w:val="24"/>
          <w:szCs w:val="24"/>
        </w:rPr>
        <w:t xml:space="preserve"> document a run with </w:t>
      </w:r>
      <w:r w:rsidRPr="004A276C">
        <w:rPr>
          <w:rFonts w:ascii="Courier New" w:eastAsia="Times New Roman" w:hAnsi="Courier New" w:cs="Courier New"/>
          <w:sz w:val="20"/>
          <w:szCs w:val="20"/>
        </w:rPr>
        <w:t>k = 30</w:t>
      </w:r>
      <w:r w:rsidRPr="004A276C">
        <w:rPr>
          <w:rFonts w:ascii="Times New Roman" w:eastAsia="Times New Roman" w:hAnsi="Times New Roman" w:cs="Times New Roman"/>
          <w:sz w:val="24"/>
          <w:szCs w:val="24"/>
        </w:rPr>
        <w:t xml:space="preserve">; it documents a run with </w:t>
      </w:r>
      <w:r w:rsidRPr="004A276C">
        <w:rPr>
          <w:rFonts w:ascii="Courier New" w:eastAsia="Times New Roman" w:hAnsi="Courier New" w:cs="Courier New"/>
          <w:sz w:val="20"/>
          <w:szCs w:val="20"/>
        </w:rPr>
        <w:t>k = 20</w:t>
      </w:r>
      <w:r w:rsidRPr="004A276C">
        <w:rPr>
          <w:rFonts w:ascii="Times New Roman" w:eastAsia="Times New Roman" w:hAnsi="Times New Roman" w:cs="Times New Roman"/>
          <w:sz w:val="24"/>
          <w:szCs w:val="24"/>
        </w:rPr>
        <w:t xml:space="preserve">. The correct statement is therefore: </w:t>
      </w:r>
      <w:r w:rsidRPr="004A276C">
        <w:rPr>
          <w:rFonts w:ascii="Times New Roman" w:eastAsia="Times New Roman" w:hAnsi="Times New Roman" w:cs="Times New Roman"/>
          <w:b/>
          <w:bCs/>
          <w:sz w:val="24"/>
          <w:szCs w:val="24"/>
        </w:rPr>
        <w:t xml:space="preserve">for this run, </w:t>
      </w:r>
      <w:r w:rsidRPr="004A276C">
        <w:rPr>
          <w:rFonts w:ascii="Courier New" w:eastAsia="Times New Roman" w:hAnsi="Courier New" w:cs="Courier New"/>
          <w:b/>
          <w:bCs/>
          <w:sz w:val="20"/>
          <w:szCs w:val="20"/>
        </w:rPr>
        <w:t>k = 20</w:t>
      </w:r>
      <w:r w:rsidRPr="004A276C">
        <w:rPr>
          <w:rFonts w:ascii="Times New Roman" w:eastAsia="Times New Roman" w:hAnsi="Times New Roman" w:cs="Times New Roman"/>
          <w:b/>
          <w:bCs/>
          <w:sz w:val="24"/>
          <w:szCs w:val="24"/>
        </w:rPr>
        <w:t xml:space="preserve"> appears adequate.</w:t>
      </w:r>
    </w:p>
    <w:p w14:paraId="6291914D"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pict w14:anchorId="1B2132C3">
          <v:rect id="_x0000_i1029" style="width:0;height:1.5pt" o:hralign="center" o:hrstd="t" o:hr="t" fillcolor="#a0a0a0" stroked="f"/>
        </w:pict>
      </w:r>
    </w:p>
    <w:p w14:paraId="05801F0D"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5. Residual diagnostics</w:t>
      </w:r>
    </w:p>
    <w:p w14:paraId="1F33F4AA"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The residual diagnostics are useful but not perfect. The global GAM appraisal shows strong right-tail behavior in the QQ plot, a highly right-skewed residual histogram, and a wedge-shaped residual-versus-linear-predictor pattern. These patterns are consistent with bounded, nonnegative error responses and large numbers of near-zero errors.</w:t>
      </w:r>
    </w:p>
    <w:p w14:paraId="273DE76A"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The difference and signed-ratio GAM diagnostics are better behaved than the global model, but they still show heavy right tails and heteroskedasticity. This does not invalidate the GAM as an exploratory and comparative surface model, but it does mean that p-values should not be overinterpreted. With this sample size, almost any systematic effect becomes statistically significant.</w:t>
      </w:r>
    </w:p>
    <w:p w14:paraId="0CE39631"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stronger evidence comes from the </w:t>
      </w:r>
      <w:r w:rsidRPr="004A276C">
        <w:rPr>
          <w:rFonts w:ascii="Times New Roman" w:eastAsia="Times New Roman" w:hAnsi="Times New Roman" w:cs="Times New Roman"/>
          <w:b/>
          <w:bCs/>
          <w:sz w:val="24"/>
          <w:szCs w:val="24"/>
        </w:rPr>
        <w:t>magnitude, direction, and spatial extent</w:t>
      </w:r>
      <w:r w:rsidRPr="004A276C">
        <w:rPr>
          <w:rFonts w:ascii="Times New Roman" w:eastAsia="Times New Roman" w:hAnsi="Times New Roman" w:cs="Times New Roman"/>
          <w:sz w:val="24"/>
          <w:szCs w:val="24"/>
        </w:rPr>
        <w:t xml:space="preserve"> of the fitted surfaces, not from p-values alone.</w:t>
      </w:r>
    </w:p>
    <w:p w14:paraId="1205909F"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pict w14:anchorId="63A52393">
          <v:rect id="_x0000_i1030" style="width:0;height:1.5pt" o:hralign="center" o:hrstd="t" o:hr="t" fillcolor="#a0a0a0" stroked="f"/>
        </w:pict>
      </w:r>
    </w:p>
    <w:p w14:paraId="7A89EDCA"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6. Method v versus Method iii</w:t>
      </w:r>
    </w:p>
    <w:p w14:paraId="187449E8"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Method v minus Method iii GAM shows that the difference between the two methods is spatially structured. The difference model has significant smooths for all three metrics and explains </w:t>
      </w:r>
      <w:r w:rsidRPr="004A276C">
        <w:rPr>
          <w:rFonts w:ascii="Times New Roman" w:eastAsia="Times New Roman" w:hAnsi="Times New Roman" w:cs="Times New Roman"/>
          <w:b/>
          <w:bCs/>
          <w:sz w:val="24"/>
          <w:szCs w:val="24"/>
        </w:rPr>
        <w:t>8.03%</w:t>
      </w:r>
      <w:r w:rsidRPr="004A276C">
        <w:rPr>
          <w:rFonts w:ascii="Times New Roman" w:eastAsia="Times New Roman" w:hAnsi="Times New Roman" w:cs="Times New Roman"/>
          <w:sz w:val="24"/>
          <w:szCs w:val="24"/>
        </w:rPr>
        <w:t xml:space="preserve"> of deviance in the pairwise difference response. That is modest in absolute terms but meaningful for a direct method contrast, because the response is already a difference between two similar estimators.</w:t>
      </w:r>
    </w:p>
    <w:p w14:paraId="404415EF"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The signed log-ratio model is the more interpretable comparison. It uses</w:t>
      </w:r>
    </w:p>
    <w:p w14:paraId="0F0A44B3"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Courier New" w:eastAsia="Times New Roman" w:hAnsi="Courier New" w:cs="Courier New"/>
          <w:sz w:val="20"/>
          <w:szCs w:val="20"/>
        </w:rPr>
        <w:t>log((v + eps) / (iii + eps))</w:t>
      </w:r>
    </w:p>
    <w:p w14:paraId="17FA3676"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with positive values meaning Method v has larger error and negative values meaning Method v has smaller error. The signed model explains only </w:t>
      </w:r>
      <w:r w:rsidRPr="004A276C">
        <w:rPr>
          <w:rFonts w:ascii="Times New Roman" w:eastAsia="Times New Roman" w:hAnsi="Times New Roman" w:cs="Times New Roman"/>
          <w:b/>
          <w:bCs/>
          <w:sz w:val="24"/>
          <w:szCs w:val="24"/>
        </w:rPr>
        <w:t>1.91%</w:t>
      </w:r>
      <w:r w:rsidRPr="004A276C">
        <w:rPr>
          <w:rFonts w:ascii="Times New Roman" w:eastAsia="Times New Roman" w:hAnsi="Times New Roman" w:cs="Times New Roman"/>
          <w:sz w:val="24"/>
          <w:szCs w:val="24"/>
        </w:rPr>
        <w:t xml:space="preserve"> of deviance, but the fitted directional regions are consistent enough to summarize the practical conclusion: </w:t>
      </w:r>
      <w:r w:rsidRPr="004A276C">
        <w:rPr>
          <w:rFonts w:ascii="Times New Roman" w:eastAsia="Times New Roman" w:hAnsi="Times New Roman" w:cs="Times New Roman"/>
          <w:b/>
          <w:bCs/>
          <w:sz w:val="24"/>
          <w:szCs w:val="24"/>
        </w:rPr>
        <w:t>Method v is worse than Method iii over most of the prediction grid, but better in localized low-to-middle probability regions.</w:t>
      </w:r>
    </w:p>
    <w:p w14:paraId="7507FF84"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negative-region plots show Method v’s advantage mainly in a localized central/left portion of the simplex, roughly where </w:t>
      </w:r>
      <w:r w:rsidRPr="004A276C">
        <w:rPr>
          <w:rFonts w:ascii="Courier New" w:eastAsia="Times New Roman" w:hAnsi="Courier New" w:cs="Courier New"/>
          <w:sz w:val="20"/>
          <w:szCs w:val="20"/>
        </w:rPr>
        <w:t>p1</w:t>
      </w:r>
      <w:r w:rsidRPr="004A276C">
        <w:rPr>
          <w:rFonts w:ascii="Times New Roman" w:eastAsia="Times New Roman" w:hAnsi="Times New Roman" w:cs="Times New Roman"/>
          <w:sz w:val="24"/>
          <w:szCs w:val="24"/>
        </w:rPr>
        <w:t xml:space="preserve"> is moderate and </w:t>
      </w:r>
      <w:r w:rsidRPr="004A276C">
        <w:rPr>
          <w:rFonts w:ascii="Courier New" w:eastAsia="Times New Roman" w:hAnsi="Courier New" w:cs="Courier New"/>
          <w:sz w:val="20"/>
          <w:szCs w:val="20"/>
        </w:rPr>
        <w:t>p2</w:t>
      </w:r>
      <w:r w:rsidRPr="004A276C">
        <w:rPr>
          <w:rFonts w:ascii="Times New Roman" w:eastAsia="Times New Roman" w:hAnsi="Times New Roman" w:cs="Times New Roman"/>
          <w:sz w:val="24"/>
          <w:szCs w:val="24"/>
        </w:rPr>
        <w:t xml:space="preserve"> is low to moderate. The positive-region plots show that Method v has larger error over the broader remaining region, especially toward the higher-</w:t>
      </w:r>
      <w:r w:rsidRPr="004A276C">
        <w:rPr>
          <w:rFonts w:ascii="Courier New" w:eastAsia="Times New Roman" w:hAnsi="Courier New" w:cs="Courier New"/>
          <w:sz w:val="20"/>
          <w:szCs w:val="20"/>
        </w:rPr>
        <w:t>p1</w:t>
      </w:r>
      <w:r w:rsidRPr="004A276C">
        <w:rPr>
          <w:rFonts w:ascii="Times New Roman" w:eastAsia="Times New Roman" w:hAnsi="Times New Roman" w:cs="Times New Roman"/>
          <w:sz w:val="24"/>
          <w:szCs w:val="24"/>
        </w:rPr>
        <w:t xml:space="preserve"> edge and upper simplex boundary.</w:t>
      </w:r>
    </w:p>
    <w:p w14:paraId="4EE26310"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lastRenderedPageBreak/>
        <w:t>Thus, Method v should not be presented as globally superior to Method iii. A more accurate conclusion is:</w:t>
      </w:r>
    </w:p>
    <w:p w14:paraId="5DFF3D3E"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b/>
          <w:bCs/>
          <w:sz w:val="24"/>
          <w:szCs w:val="24"/>
        </w:rPr>
        <w:t>Method iii is the safer general-purpose choice across the probability space, while Method v has localized advantages in restricted compositional regions.</w:t>
      </w:r>
    </w:p>
    <w:p w14:paraId="23DD6AF6" w14:textId="77777777" w:rsidR="004A276C" w:rsidRPr="004A276C" w:rsidRDefault="004A276C" w:rsidP="004A276C">
      <w:pPr>
        <w:spacing w:after="0"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pict w14:anchorId="5152BC35">
          <v:rect id="_x0000_i1031" style="width:0;height:1.5pt" o:hralign="center" o:hrstd="t" o:hr="t" fillcolor="#a0a0a0" stroked="f"/>
        </w:pict>
      </w:r>
    </w:p>
    <w:p w14:paraId="005D2761"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7. Practical interpretation</w:t>
      </w:r>
    </w:p>
    <w:p w14:paraId="10BC56B5"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most important scientific result is not simply that methods differ. The important result is that </w:t>
      </w:r>
      <w:r w:rsidRPr="004A276C">
        <w:rPr>
          <w:rFonts w:ascii="Times New Roman" w:eastAsia="Times New Roman" w:hAnsi="Times New Roman" w:cs="Times New Roman"/>
          <w:b/>
          <w:bCs/>
          <w:sz w:val="24"/>
          <w:szCs w:val="24"/>
        </w:rPr>
        <w:t>method performance is conditional on the composition vector</w:t>
      </w:r>
      <w:r w:rsidRPr="004A276C">
        <w:rPr>
          <w:rFonts w:ascii="Times New Roman" w:eastAsia="Times New Roman" w:hAnsi="Times New Roman" w:cs="Times New Roman"/>
          <w:sz w:val="24"/>
          <w:szCs w:val="24"/>
        </w:rPr>
        <w:t>. The same estimator can look favorable in one part of the simplex and unfavorable elsewhere.</w:t>
      </w:r>
    </w:p>
    <w:p w14:paraId="24572683"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For reporting, I would emphasize four points:</w:t>
      </w:r>
    </w:p>
    <w:p w14:paraId="3E6D3FBF" w14:textId="77777777" w:rsidR="004A276C" w:rsidRPr="004A276C" w:rsidRDefault="004A276C" w:rsidP="004A27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probability-space interaction </w:t>
      </w:r>
      <w:r w:rsidRPr="004A276C">
        <w:rPr>
          <w:rFonts w:ascii="Courier New" w:eastAsia="Times New Roman" w:hAnsi="Courier New" w:cs="Courier New"/>
          <w:sz w:val="20"/>
          <w:szCs w:val="20"/>
        </w:rPr>
        <w:t>s(p1, p2)</w:t>
      </w:r>
      <w:r w:rsidRPr="004A276C">
        <w:rPr>
          <w:rFonts w:ascii="Times New Roman" w:eastAsia="Times New Roman" w:hAnsi="Times New Roman" w:cs="Times New Roman"/>
          <w:sz w:val="24"/>
          <w:szCs w:val="24"/>
        </w:rPr>
        <w:t xml:space="preserve"> is a major determinant of accuracy.</w:t>
      </w:r>
    </w:p>
    <w:p w14:paraId="00334B5F" w14:textId="77777777" w:rsidR="004A276C" w:rsidRPr="004A276C" w:rsidRDefault="004A276C" w:rsidP="004A27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276C">
        <w:rPr>
          <w:rFonts w:ascii="Courier New" w:eastAsia="Times New Roman" w:hAnsi="Courier New" w:cs="Courier New"/>
          <w:sz w:val="20"/>
          <w:szCs w:val="20"/>
        </w:rPr>
        <w:t>sigma</w:t>
      </w:r>
      <w:r w:rsidRPr="004A276C">
        <w:rPr>
          <w:rFonts w:ascii="Times New Roman" w:eastAsia="Times New Roman" w:hAnsi="Times New Roman" w:cs="Times New Roman"/>
          <w:sz w:val="24"/>
          <w:szCs w:val="24"/>
        </w:rPr>
        <w:t xml:space="preserve">, </w:t>
      </w:r>
      <w:r w:rsidRPr="004A276C">
        <w:rPr>
          <w:rFonts w:ascii="Courier New" w:eastAsia="Times New Roman" w:hAnsi="Courier New" w:cs="Courier New"/>
          <w:sz w:val="20"/>
          <w:szCs w:val="20"/>
        </w:rPr>
        <w:t>G</w:t>
      </w:r>
      <w:r w:rsidRPr="004A276C">
        <w:rPr>
          <w:rFonts w:ascii="Times New Roman" w:eastAsia="Times New Roman" w:hAnsi="Times New Roman" w:cs="Times New Roman"/>
          <w:sz w:val="24"/>
          <w:szCs w:val="24"/>
        </w:rPr>
        <w:t>, and the error metric are stronger global drivers than the method main effect.</w:t>
      </w:r>
    </w:p>
    <w:p w14:paraId="4ADF2BD7" w14:textId="77777777" w:rsidR="004A276C" w:rsidRPr="004A276C" w:rsidRDefault="004A276C" w:rsidP="004A27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Method ii is generally disadvantaged.</w:t>
      </w:r>
    </w:p>
    <w:p w14:paraId="6EA1B703" w14:textId="77777777" w:rsidR="004A276C" w:rsidRPr="004A276C" w:rsidRDefault="004A276C" w:rsidP="004A27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Method iii is generally preferable to Method v over most of the prediction grid, although Method v has localized regions of lower error.</w:t>
      </w:r>
    </w:p>
    <w:p w14:paraId="4CF6E97F" w14:textId="77777777" w:rsidR="004A276C" w:rsidRPr="004A276C" w:rsidRDefault="004A276C" w:rsidP="004A276C">
      <w:pPr>
        <w:spacing w:before="100" w:beforeAutospacing="1" w:after="100" w:afterAutospacing="1" w:line="240" w:lineRule="auto"/>
        <w:outlineLvl w:val="1"/>
        <w:rPr>
          <w:rFonts w:ascii="Times New Roman" w:eastAsia="Times New Roman" w:hAnsi="Times New Roman" w:cs="Times New Roman"/>
          <w:b/>
          <w:bCs/>
          <w:sz w:val="36"/>
          <w:szCs w:val="36"/>
        </w:rPr>
      </w:pPr>
      <w:r w:rsidRPr="004A276C">
        <w:rPr>
          <w:rFonts w:ascii="Times New Roman" w:eastAsia="Times New Roman" w:hAnsi="Times New Roman" w:cs="Times New Roman"/>
          <w:b/>
          <w:bCs/>
          <w:sz w:val="36"/>
          <w:szCs w:val="36"/>
        </w:rPr>
        <w:t>Bottom-line ranking implication</w:t>
      </w:r>
    </w:p>
    <w:p w14:paraId="37688D45"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For the Code E GAM diagnostics alone, the defensible qualitative ranking is:</w:t>
      </w:r>
    </w:p>
    <w:p w14:paraId="41006BA1"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b/>
          <w:bCs/>
          <w:sz w:val="24"/>
          <w:szCs w:val="24"/>
        </w:rPr>
        <w:t>Best general-purpose group:</w:t>
      </w:r>
      <w:r w:rsidRPr="004A276C">
        <w:rPr>
          <w:rFonts w:ascii="Times New Roman" w:eastAsia="Times New Roman" w:hAnsi="Times New Roman" w:cs="Times New Roman"/>
          <w:sz w:val="24"/>
          <w:szCs w:val="24"/>
        </w:rPr>
        <w:t xml:space="preserve"> Methods iii, iv, and v, with Method iii favored over Method v in the direct signed comparison.</w:t>
      </w:r>
      <w:r w:rsidRPr="004A276C">
        <w:rPr>
          <w:rFonts w:ascii="Times New Roman" w:eastAsia="Times New Roman" w:hAnsi="Times New Roman" w:cs="Times New Roman"/>
          <w:sz w:val="24"/>
          <w:szCs w:val="24"/>
        </w:rPr>
        <w:br/>
      </w:r>
      <w:r w:rsidRPr="004A276C">
        <w:rPr>
          <w:rFonts w:ascii="Times New Roman" w:eastAsia="Times New Roman" w:hAnsi="Times New Roman" w:cs="Times New Roman"/>
          <w:b/>
          <w:bCs/>
          <w:sz w:val="24"/>
          <w:szCs w:val="24"/>
        </w:rPr>
        <w:t>Intermediate:</w:t>
      </w:r>
      <w:r w:rsidRPr="004A276C">
        <w:rPr>
          <w:rFonts w:ascii="Times New Roman" w:eastAsia="Times New Roman" w:hAnsi="Times New Roman" w:cs="Times New Roman"/>
          <w:sz w:val="24"/>
          <w:szCs w:val="24"/>
        </w:rPr>
        <w:t xml:space="preserve"> Method </w:t>
      </w:r>
      <w:proofErr w:type="spellStart"/>
      <w:r w:rsidRPr="004A276C">
        <w:rPr>
          <w:rFonts w:ascii="Times New Roman" w:eastAsia="Times New Roman" w:hAnsi="Times New Roman" w:cs="Times New Roman"/>
          <w:sz w:val="24"/>
          <w:szCs w:val="24"/>
        </w:rPr>
        <w:t>i</w:t>
      </w:r>
      <w:proofErr w:type="spellEnd"/>
      <w:r w:rsidRPr="004A276C">
        <w:rPr>
          <w:rFonts w:ascii="Times New Roman" w:eastAsia="Times New Roman" w:hAnsi="Times New Roman" w:cs="Times New Roman"/>
          <w:sz w:val="24"/>
          <w:szCs w:val="24"/>
        </w:rPr>
        <w:t>.</w:t>
      </w:r>
      <w:r w:rsidRPr="004A276C">
        <w:rPr>
          <w:rFonts w:ascii="Times New Roman" w:eastAsia="Times New Roman" w:hAnsi="Times New Roman" w:cs="Times New Roman"/>
          <w:sz w:val="24"/>
          <w:szCs w:val="24"/>
        </w:rPr>
        <w:br/>
      </w:r>
      <w:r w:rsidRPr="004A276C">
        <w:rPr>
          <w:rFonts w:ascii="Times New Roman" w:eastAsia="Times New Roman" w:hAnsi="Times New Roman" w:cs="Times New Roman"/>
          <w:b/>
          <w:bCs/>
          <w:sz w:val="24"/>
          <w:szCs w:val="24"/>
        </w:rPr>
        <w:t>Weakest:</w:t>
      </w:r>
      <w:r w:rsidRPr="004A276C">
        <w:rPr>
          <w:rFonts w:ascii="Times New Roman" w:eastAsia="Times New Roman" w:hAnsi="Times New Roman" w:cs="Times New Roman"/>
          <w:sz w:val="24"/>
          <w:szCs w:val="24"/>
        </w:rPr>
        <w:t xml:space="preserve"> Method ii.</w:t>
      </w:r>
    </w:p>
    <w:p w14:paraId="482DD7FA" w14:textId="77777777" w:rsidR="004A276C" w:rsidRPr="004A276C" w:rsidRDefault="004A276C" w:rsidP="004A276C">
      <w:pPr>
        <w:spacing w:before="100" w:beforeAutospacing="1" w:after="100" w:afterAutospacing="1" w:line="240" w:lineRule="auto"/>
        <w:rPr>
          <w:rFonts w:ascii="Times New Roman" w:eastAsia="Times New Roman" w:hAnsi="Times New Roman" w:cs="Times New Roman"/>
          <w:sz w:val="24"/>
          <w:szCs w:val="24"/>
        </w:rPr>
      </w:pPr>
      <w:r w:rsidRPr="004A276C">
        <w:rPr>
          <w:rFonts w:ascii="Times New Roman" w:eastAsia="Times New Roman" w:hAnsi="Times New Roman" w:cs="Times New Roman"/>
          <w:sz w:val="24"/>
          <w:szCs w:val="24"/>
        </w:rPr>
        <w:t xml:space="preserve">The final manuscript wording should avoid saying that Method v is uniformly worse or uniformly better than Method iii. The accurate statement is that </w:t>
      </w:r>
      <w:r w:rsidRPr="004A276C">
        <w:rPr>
          <w:rFonts w:ascii="Times New Roman" w:eastAsia="Times New Roman" w:hAnsi="Times New Roman" w:cs="Times New Roman"/>
          <w:b/>
          <w:bCs/>
          <w:sz w:val="24"/>
          <w:szCs w:val="24"/>
        </w:rPr>
        <w:t xml:space="preserve">Method v has smaller error in localized regions, but Method iii dominates the broader probability space under RMSE, L1, and </w:t>
      </w:r>
      <w:proofErr w:type="spellStart"/>
      <w:r w:rsidRPr="004A276C">
        <w:rPr>
          <w:rFonts w:ascii="Times New Roman" w:eastAsia="Times New Roman" w:hAnsi="Times New Roman" w:cs="Times New Roman"/>
          <w:b/>
          <w:bCs/>
          <w:sz w:val="24"/>
          <w:szCs w:val="24"/>
        </w:rPr>
        <w:t>Linf</w:t>
      </w:r>
      <w:proofErr w:type="spellEnd"/>
      <w:r w:rsidRPr="004A276C">
        <w:rPr>
          <w:rFonts w:ascii="Times New Roman" w:eastAsia="Times New Roman" w:hAnsi="Times New Roman" w:cs="Times New Roman"/>
          <w:b/>
          <w:bCs/>
          <w:sz w:val="24"/>
          <w:szCs w:val="24"/>
        </w:rPr>
        <w:t xml:space="preserve"> directional comparisons.</w:t>
      </w:r>
    </w:p>
    <w:p w14:paraId="52CCCAE5" w14:textId="77777777" w:rsidR="003C743F" w:rsidRPr="001C2F6E" w:rsidRDefault="003C743F" w:rsidP="001C2F6E"/>
    <w:sectPr w:rsidR="003C743F" w:rsidRPr="001C2F6E"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69EA"/>
    <w:multiLevelType w:val="multilevel"/>
    <w:tmpl w:val="091C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DE5022"/>
    <w:multiLevelType w:val="multilevel"/>
    <w:tmpl w:val="F92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1C2F6E"/>
    <w:rsid w:val="002E36FF"/>
    <w:rsid w:val="003C743F"/>
    <w:rsid w:val="004226D1"/>
    <w:rsid w:val="004A276C"/>
    <w:rsid w:val="0050111C"/>
    <w:rsid w:val="00671B0F"/>
    <w:rsid w:val="00C71FBC"/>
    <w:rsid w:val="00F51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161752">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1769079853">
      <w:bodyDiv w:val="1"/>
      <w:marLeft w:val="0"/>
      <w:marRight w:val="0"/>
      <w:marTop w:val="0"/>
      <w:marBottom w:val="0"/>
      <w:divBdr>
        <w:top w:val="none" w:sz="0" w:space="0" w:color="auto"/>
        <w:left w:val="none" w:sz="0" w:space="0" w:color="auto"/>
        <w:bottom w:val="none" w:sz="0" w:space="0" w:color="auto"/>
        <w:right w:val="none" w:sz="0" w:space="0" w:color="auto"/>
      </w:divBdr>
    </w:div>
    <w:div w:id="1969630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1424</Words>
  <Characters>8123</Characters>
  <Application>Microsoft Office Word</Application>
  <DocSecurity>0</DocSecurity>
  <Lines>67</Lines>
  <Paragraphs>19</Paragraphs>
  <ScaleCrop>false</ScaleCrop>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7</cp:revision>
  <dcterms:created xsi:type="dcterms:W3CDTF">2026-05-29T00:38:00Z</dcterms:created>
  <dcterms:modified xsi:type="dcterms:W3CDTF">2026-06-07T22:53:00Z</dcterms:modified>
</cp:coreProperties>
</file>