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DAE4D" w14:textId="6B208BAF" w:rsidR="00EA301C" w:rsidRPr="0047738F" w:rsidRDefault="00F3498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2019</w:t>
      </w:r>
      <w:r w:rsidR="00C67C77" w:rsidRPr="0047738F">
        <w:rPr>
          <w:rFonts w:asciiTheme="minorHAnsi" w:hAnsiTheme="minorHAnsi"/>
          <w:b/>
        </w:rPr>
        <w:t xml:space="preserve"> ITAE Field Asset Overview</w:t>
      </w:r>
    </w:p>
    <w:p w14:paraId="371D088A" w14:textId="0E541635" w:rsidR="00B10721" w:rsidRDefault="00B10721" w:rsidP="00915F25">
      <w:pPr>
        <w:spacing w:after="120"/>
        <w:rPr>
          <w:rFonts w:asciiTheme="minorHAnsi" w:eastAsia="Times New Roman" w:hAnsiTheme="minorHAnsi"/>
          <w:i/>
          <w:color w:val="FF0000"/>
          <w:sz w:val="20"/>
          <w:szCs w:val="20"/>
        </w:rPr>
      </w:pPr>
    </w:p>
    <w:p w14:paraId="4AE4B3F6" w14:textId="3C8D4C3D" w:rsidR="009F3FA7" w:rsidRPr="009F3FA7" w:rsidRDefault="009F3FA7" w:rsidP="00915F25">
      <w:pPr>
        <w:spacing w:after="120"/>
        <w:rPr>
          <w:rFonts w:asciiTheme="minorHAnsi" w:hAnsiTheme="minorHAnsi"/>
          <w:color w:val="2F5496" w:themeColor="accent1" w:themeShade="BF"/>
          <w:sz w:val="20"/>
          <w:szCs w:val="20"/>
        </w:rPr>
      </w:pPr>
      <w:r>
        <w:rPr>
          <w:rFonts w:asciiTheme="minorHAnsi" w:eastAsia="Times New Roman" w:hAnsiTheme="minorHAnsi"/>
          <w:i/>
          <w:color w:val="2F5496" w:themeColor="accent1" w:themeShade="BF"/>
          <w:sz w:val="20"/>
          <w:szCs w:val="20"/>
        </w:rPr>
        <w:t>Pop-up Float</w:t>
      </w:r>
    </w:p>
    <w:p w14:paraId="04F4A175" w14:textId="77777777" w:rsidR="00C67C77" w:rsidRPr="00915F25" w:rsidRDefault="00C67C77">
      <w:pPr>
        <w:rPr>
          <w:sz w:val="20"/>
          <w:szCs w:val="20"/>
        </w:rPr>
      </w:pPr>
    </w:p>
    <w:tbl>
      <w:tblPr>
        <w:tblW w:w="10815" w:type="dxa"/>
        <w:tblInd w:w="-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3052"/>
        <w:gridCol w:w="1538"/>
        <w:gridCol w:w="3870"/>
      </w:tblGrid>
      <w:tr w:rsidR="00C67C77" w:rsidRPr="00915F25" w14:paraId="18039D51" w14:textId="77777777" w:rsidTr="009F3FA7">
        <w:trPr>
          <w:trHeight w:val="53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2C50B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Principal Investigator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120A" w14:textId="73196767" w:rsidR="00C67C77" w:rsidRPr="00915F25" w:rsidRDefault="00577262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 xml:space="preserve">Dr. </w:t>
            </w:r>
            <w:r w:rsidR="00C03A1E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 xml:space="preserve">Phyllis </w:t>
            </w:r>
            <w:proofErr w:type="spellStart"/>
            <w:r w:rsidR="00C03A1E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Stabeno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6B158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Requesting Organization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E6126" w14:textId="77777777" w:rsidR="00C67C77" w:rsidRPr="009F3FA7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</w:pPr>
            <w:r w:rsidRPr="009F3FA7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NOAA’s Pacific Marine Environmental Lab</w:t>
            </w:r>
          </w:p>
          <w:p w14:paraId="48E1C306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F3FA7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Seattle, WA</w:t>
            </w:r>
          </w:p>
        </w:tc>
      </w:tr>
      <w:tr w:rsidR="00C67C77" w:rsidRPr="00915F25" w14:paraId="678A64C6" w14:textId="77777777" w:rsidTr="009F3FA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6E1A0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Mission Name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A8F9D" w14:textId="18C4940B" w:rsidR="00C67C77" w:rsidRPr="00915F25" w:rsidRDefault="00761042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Oceanographic Controls on Pollock migration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467BA" w14:textId="77777777" w:rsidR="00C67C77" w:rsidRPr="00915F25" w:rsidRDefault="00C67C77" w:rsidP="00C67C7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No. of Assets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C47C7" w14:textId="383FECE7" w:rsidR="00C67C77" w:rsidRPr="009F3FA7" w:rsidRDefault="009F3FA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</w:pPr>
            <w:r w:rsidRPr="009F3FA7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16</w:t>
            </w:r>
          </w:p>
        </w:tc>
      </w:tr>
      <w:tr w:rsidR="00C67C77" w:rsidRPr="00915F25" w14:paraId="39472F67" w14:textId="77777777" w:rsidTr="009F3FA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8E4B5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Duration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7AD95B" w14:textId="233D9BB0" w:rsidR="00C67C77" w:rsidRPr="00915F25" w:rsidRDefault="00230A81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July 2019 – July 2020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15D97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Data Mission Days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0220E" w14:textId="204535C3" w:rsidR="00C67C77" w:rsidRPr="00915F25" w:rsidRDefault="0033775D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33775D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Up to 2 years</w:t>
            </w:r>
          </w:p>
        </w:tc>
      </w:tr>
      <w:tr w:rsidR="00C67C77" w:rsidRPr="00915F25" w14:paraId="37D5A92B" w14:textId="77777777" w:rsidTr="009F3FA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264B8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Launch Location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EF309" w14:textId="6DE596BA" w:rsidR="00C67C77" w:rsidRPr="00915F25" w:rsidRDefault="00C03A1E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C03A1E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N/A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E746B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Recovery Location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4DFAD" w14:textId="50FB5CBD" w:rsidR="00C67C77" w:rsidRPr="00915F25" w:rsidRDefault="009F3FA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33775D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Not applicable, no recovery</w:t>
            </w:r>
          </w:p>
        </w:tc>
      </w:tr>
      <w:tr w:rsidR="00C67C77" w:rsidRPr="00915F25" w14:paraId="579BB409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7AEBD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OPAREA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75383" w14:textId="081A104C" w:rsidR="00C67C77" w:rsidRPr="00915F25" w:rsidRDefault="009F3FA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33775D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Bering</w:t>
            </w:r>
            <w:r w:rsidR="00374D8B" w:rsidRPr="0033775D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 xml:space="preserve"> Sea</w:t>
            </w:r>
          </w:p>
        </w:tc>
      </w:tr>
    </w:tbl>
    <w:p w14:paraId="0B56A965" w14:textId="77777777" w:rsidR="00C67C77" w:rsidRPr="00915F25" w:rsidRDefault="00C67C77">
      <w:pPr>
        <w:rPr>
          <w:sz w:val="20"/>
          <w:szCs w:val="20"/>
        </w:rPr>
      </w:pPr>
    </w:p>
    <w:p w14:paraId="16AD3F4B" w14:textId="77777777" w:rsidR="00C67C77" w:rsidRPr="00915F25" w:rsidRDefault="00C67C77">
      <w:pPr>
        <w:rPr>
          <w:rFonts w:eastAsia="Times New Roman"/>
          <w:sz w:val="20"/>
          <w:szCs w:val="20"/>
        </w:rPr>
      </w:pPr>
      <w:r w:rsidRPr="00915F25">
        <w:rPr>
          <w:rFonts w:eastAsia="Times New Roman"/>
          <w:sz w:val="20"/>
          <w:szCs w:val="20"/>
        </w:rPr>
        <w:t>Background</w:t>
      </w:r>
    </w:p>
    <w:p w14:paraId="07F45A54" w14:textId="311EC3BE" w:rsidR="00915F25" w:rsidRPr="00AC0E54" w:rsidRDefault="00116C6F" w:rsidP="001A2D70">
      <w:pPr>
        <w:rPr>
          <w:rFonts w:eastAsia="Times New Roman"/>
          <w:color w:val="2F5496" w:themeColor="accent1" w:themeShade="BF"/>
          <w:sz w:val="20"/>
          <w:szCs w:val="20"/>
        </w:rPr>
      </w:pPr>
      <w:r w:rsidRPr="00240884">
        <w:rPr>
          <w:rFonts w:eastAsia="Times New Roman"/>
          <w:b/>
          <w:bCs/>
          <w:color w:val="2F5496" w:themeColor="accent1" w:themeShade="BF"/>
          <w:sz w:val="20"/>
          <w:szCs w:val="20"/>
        </w:rPr>
        <w:t>How do bottom-up mechanisms (e.g. temperatur</w:t>
      </w:r>
      <w:bookmarkStart w:id="0" w:name="_GoBack"/>
      <w:bookmarkEnd w:id="0"/>
      <w:r w:rsidRPr="00240884">
        <w:rPr>
          <w:rFonts w:eastAsia="Times New Roman"/>
          <w:b/>
          <w:bCs/>
          <w:color w:val="2F5496" w:themeColor="accent1" w:themeShade="BF"/>
          <w:sz w:val="20"/>
          <w:szCs w:val="20"/>
        </w:rPr>
        <w:t xml:space="preserve">e and light) control the seasonal feeding migration of </w:t>
      </w:r>
      <w:proofErr w:type="spellStart"/>
      <w:r w:rsidRPr="00240884">
        <w:rPr>
          <w:rFonts w:eastAsia="Times New Roman"/>
          <w:b/>
          <w:bCs/>
          <w:color w:val="2F5496" w:themeColor="accent1" w:themeShade="BF"/>
          <w:sz w:val="20"/>
          <w:szCs w:val="20"/>
        </w:rPr>
        <w:t>pollock</w:t>
      </w:r>
      <w:proofErr w:type="spellEnd"/>
      <w:r w:rsidRPr="00240884">
        <w:rPr>
          <w:rFonts w:eastAsia="Times New Roman"/>
          <w:b/>
          <w:bCs/>
          <w:color w:val="2F5496" w:themeColor="accent1" w:themeShade="BF"/>
          <w:sz w:val="20"/>
          <w:szCs w:val="20"/>
        </w:rPr>
        <w:t xml:space="preserve"> over the Bering Sea shelf? </w:t>
      </w:r>
      <w:r w:rsidR="00AC0E54">
        <w:rPr>
          <w:rFonts w:eastAsia="Times New Roman"/>
          <w:color w:val="2F5496" w:themeColor="accent1" w:themeShade="BF"/>
          <w:sz w:val="20"/>
          <w:szCs w:val="20"/>
        </w:rPr>
        <w:t xml:space="preserve">The Pop-up floats will be used to help capture seasonal changes in bottom temperatures and the vertical structure of light in the water column in a large-scale grid ranging from </w:t>
      </w:r>
      <w:r w:rsidR="001A2D70">
        <w:rPr>
          <w:rFonts w:eastAsia="Times New Roman"/>
          <w:color w:val="2F5496" w:themeColor="accent1" w:themeShade="BF"/>
          <w:sz w:val="20"/>
          <w:szCs w:val="20"/>
        </w:rPr>
        <w:t xml:space="preserve">just south of </w:t>
      </w:r>
      <w:r w:rsidR="00AC0E54">
        <w:rPr>
          <w:rFonts w:eastAsia="Times New Roman"/>
          <w:color w:val="2F5496" w:themeColor="accent1" w:themeShade="BF"/>
          <w:sz w:val="20"/>
          <w:szCs w:val="20"/>
        </w:rPr>
        <w:t xml:space="preserve">M8 to just south of M5. The data will </w:t>
      </w:r>
      <w:r w:rsidR="00AC0E54" w:rsidRPr="001A2D70">
        <w:rPr>
          <w:rFonts w:eastAsia="Times New Roman"/>
          <w:color w:val="2F5496" w:themeColor="accent1" w:themeShade="BF"/>
          <w:sz w:val="20"/>
          <w:szCs w:val="20"/>
        </w:rPr>
        <w:t>be paired with temperature, PAR and ADCP measurements from M8 and M5</w:t>
      </w:r>
      <w:r w:rsidR="001A2D70" w:rsidRPr="001A2D70">
        <w:rPr>
          <w:rFonts w:eastAsia="Times New Roman"/>
          <w:color w:val="2F5496" w:themeColor="accent1" w:themeShade="BF"/>
          <w:sz w:val="20"/>
          <w:szCs w:val="20"/>
        </w:rPr>
        <w:t>, and acousti</w:t>
      </w:r>
      <w:r w:rsidR="00240884">
        <w:rPr>
          <w:rFonts w:eastAsia="Times New Roman"/>
          <w:color w:val="2F5496" w:themeColor="accent1" w:themeShade="BF"/>
          <w:sz w:val="20"/>
          <w:szCs w:val="20"/>
        </w:rPr>
        <w:t xml:space="preserve">c fish biomass data from seafloor-mounted upward-looking </w:t>
      </w:r>
      <w:proofErr w:type="spellStart"/>
      <w:r w:rsidR="00240884">
        <w:rPr>
          <w:rFonts w:eastAsia="Times New Roman"/>
          <w:color w:val="2F5496" w:themeColor="accent1" w:themeShade="BF"/>
          <w:sz w:val="20"/>
          <w:szCs w:val="20"/>
        </w:rPr>
        <w:t>echosounders</w:t>
      </w:r>
      <w:proofErr w:type="spellEnd"/>
      <w:r w:rsidR="001A2D70" w:rsidRPr="001A2D70">
        <w:rPr>
          <w:rFonts w:eastAsia="Times New Roman"/>
          <w:color w:val="2F5496" w:themeColor="accent1" w:themeShade="BF"/>
          <w:sz w:val="20"/>
          <w:szCs w:val="20"/>
        </w:rPr>
        <w:t xml:space="preserve"> (SMEs). Bottom</w:t>
      </w:r>
      <w:r w:rsidR="00AC0E54" w:rsidRPr="001A2D70">
        <w:rPr>
          <w:rFonts w:eastAsia="Times New Roman"/>
          <w:color w:val="2F5496" w:themeColor="accent1" w:themeShade="BF"/>
          <w:sz w:val="20"/>
          <w:szCs w:val="20"/>
        </w:rPr>
        <w:t xml:space="preserve"> temperature, light availability and current meas</w:t>
      </w:r>
      <w:r w:rsidR="00230A81">
        <w:rPr>
          <w:rFonts w:eastAsia="Times New Roman"/>
          <w:color w:val="2F5496" w:themeColor="accent1" w:themeShade="BF"/>
          <w:sz w:val="20"/>
          <w:szCs w:val="20"/>
        </w:rPr>
        <w:t>urements will</w:t>
      </w:r>
      <w:r w:rsidR="001A2D70" w:rsidRPr="001A2D70">
        <w:rPr>
          <w:rFonts w:eastAsia="Times New Roman"/>
          <w:color w:val="2F5496" w:themeColor="accent1" w:themeShade="BF"/>
          <w:sz w:val="20"/>
          <w:szCs w:val="20"/>
        </w:rPr>
        <w:t xml:space="preserve"> be used to fill in knowledge gaps on </w:t>
      </w:r>
      <w:r w:rsidR="001A2D70" w:rsidRPr="001A2D70">
        <w:rPr>
          <w:color w:val="2F5496" w:themeColor="accent1" w:themeShade="BF"/>
          <w:sz w:val="20"/>
          <w:szCs w:val="20"/>
        </w:rPr>
        <w:t xml:space="preserve">the seasonal migration of </w:t>
      </w:r>
      <w:proofErr w:type="spellStart"/>
      <w:r w:rsidR="001A2D70" w:rsidRPr="001A2D70">
        <w:rPr>
          <w:color w:val="2F5496" w:themeColor="accent1" w:themeShade="BF"/>
          <w:sz w:val="20"/>
          <w:szCs w:val="20"/>
        </w:rPr>
        <w:t>pollock</w:t>
      </w:r>
      <w:proofErr w:type="spellEnd"/>
      <w:r w:rsidR="001A2D70" w:rsidRPr="001A2D70">
        <w:rPr>
          <w:color w:val="2F5496" w:themeColor="accent1" w:themeShade="BF"/>
          <w:sz w:val="20"/>
          <w:szCs w:val="20"/>
        </w:rPr>
        <w:t xml:space="preserve"> over the shelf in relation to the cold pool and ambient light.</w:t>
      </w:r>
      <w:r w:rsidR="001A2D70">
        <w:rPr>
          <w:color w:val="2F5496" w:themeColor="accent1" w:themeShade="BF"/>
          <w:sz w:val="20"/>
          <w:szCs w:val="20"/>
        </w:rPr>
        <w:t xml:space="preserve"> </w:t>
      </w:r>
    </w:p>
    <w:p w14:paraId="1CE87030" w14:textId="77777777" w:rsidR="00AC0E54" w:rsidRDefault="00AC0E54">
      <w:pPr>
        <w:rPr>
          <w:rFonts w:eastAsia="Times New Roman"/>
          <w:sz w:val="20"/>
          <w:szCs w:val="20"/>
        </w:rPr>
      </w:pPr>
    </w:p>
    <w:p w14:paraId="13EBB54D" w14:textId="02A117A7" w:rsidR="002A242E" w:rsidRDefault="002A242E" w:rsidP="002A242E">
      <w:pPr>
        <w:rPr>
          <w:rFonts w:eastAsia="Times New Roman"/>
          <w:color w:val="000000" w:themeColor="text1"/>
          <w:sz w:val="20"/>
          <w:szCs w:val="20"/>
        </w:rPr>
      </w:pPr>
      <w:r w:rsidRPr="002A242E">
        <w:rPr>
          <w:rFonts w:eastAsia="Times New Roman"/>
          <w:color w:val="000000" w:themeColor="text1"/>
          <w:sz w:val="20"/>
          <w:szCs w:val="20"/>
        </w:rPr>
        <w:t>Mission Overview</w:t>
      </w:r>
    </w:p>
    <w:p w14:paraId="404FC605" w14:textId="055CD6EE" w:rsidR="00240884" w:rsidRPr="00240884" w:rsidRDefault="00240884" w:rsidP="0024088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>A</w:t>
      </w:r>
      <w:r w:rsidR="00353EC2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 xml:space="preserve"> grid of pop-up floats</w:t>
      </w:r>
      <w:r w:rsidRPr="00240884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 xml:space="preserve"> will be anchored </w:t>
      </w:r>
      <w:r w:rsidR="00116C6F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 xml:space="preserve">in two main transect lines running perpendicular to the shelf </w:t>
      </w:r>
      <w:r w:rsidRPr="00240884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 xml:space="preserve">to determine the spatiotemporal variability of the cold pool </w:t>
      </w:r>
      <w:r w:rsidR="00353EC2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>over an entire year</w:t>
      </w:r>
      <w:r w:rsidRPr="00240884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>. A subset of these floats will also include PAR sensors to determine the spatiotemporal variability of available light along the bottom of the shelf.</w:t>
      </w:r>
      <w:r w:rsidR="00116C6F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 xml:space="preserve"> Deployments will take place on the OS19-03 and the OD19-08 cruises. </w:t>
      </w:r>
    </w:p>
    <w:p w14:paraId="7B8F7CC6" w14:textId="607BAF69" w:rsidR="00455AC3" w:rsidRPr="002A242E" w:rsidRDefault="00455AC3">
      <w:pPr>
        <w:rPr>
          <w:rFonts w:eastAsia="Times New Roman"/>
          <w:sz w:val="20"/>
          <w:szCs w:val="20"/>
        </w:rPr>
      </w:pPr>
    </w:p>
    <w:p w14:paraId="05A8AE65" w14:textId="77777777" w:rsidR="00B10721" w:rsidRDefault="00C67C77" w:rsidP="00B10721">
      <w:pPr>
        <w:rPr>
          <w:rFonts w:eastAsia="Times New Roman"/>
          <w:sz w:val="20"/>
          <w:szCs w:val="20"/>
        </w:rPr>
      </w:pPr>
      <w:r w:rsidRPr="00915F25">
        <w:rPr>
          <w:rFonts w:eastAsia="Times New Roman"/>
          <w:sz w:val="20"/>
          <w:szCs w:val="20"/>
        </w:rPr>
        <w:t>Objectives</w:t>
      </w:r>
    </w:p>
    <w:p w14:paraId="67AC70CF" w14:textId="77777777" w:rsidR="00455AC3" w:rsidRPr="00455AC3" w:rsidRDefault="00455AC3" w:rsidP="00455AC3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 w:rsidRPr="00455AC3">
        <w:rPr>
          <w:rFonts w:eastAsia="Times New Roman"/>
          <w:color w:val="2F5496" w:themeColor="accent1" w:themeShade="BF"/>
          <w:sz w:val="20"/>
          <w:szCs w:val="20"/>
        </w:rPr>
        <w:t>Load 5 Pop-ups (3 w/ PAR) on R/V Ocean Starr early July 2019</w:t>
      </w:r>
    </w:p>
    <w:p w14:paraId="5D70ACB5" w14:textId="77777777" w:rsidR="00455AC3" w:rsidRPr="00455AC3" w:rsidRDefault="00455AC3" w:rsidP="00455AC3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 w:rsidRPr="00455AC3">
        <w:rPr>
          <w:rFonts w:eastAsia="Times New Roman"/>
          <w:color w:val="2F5496" w:themeColor="accent1" w:themeShade="BF"/>
          <w:sz w:val="20"/>
          <w:szCs w:val="20"/>
        </w:rPr>
        <w:t>Ship 11 Pop-ups (1 w/ PAR)  to NOAAS Oscar Dyson early September 2019</w:t>
      </w:r>
    </w:p>
    <w:p w14:paraId="469E9117" w14:textId="77777777" w:rsidR="00455AC3" w:rsidRPr="00455AC3" w:rsidRDefault="00455AC3" w:rsidP="00455AC3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 w:rsidRPr="00455AC3">
        <w:rPr>
          <w:rFonts w:eastAsia="Times New Roman"/>
          <w:color w:val="2F5496" w:themeColor="accent1" w:themeShade="BF"/>
          <w:sz w:val="20"/>
          <w:szCs w:val="20"/>
        </w:rPr>
        <w:t>Deploy 5 Pop-ups from R/V Ocean Starr on OS19-03 return leg to Dutch Harbor, AK early October 2019</w:t>
      </w:r>
    </w:p>
    <w:p w14:paraId="4C310A6D" w14:textId="77777777" w:rsidR="00455AC3" w:rsidRPr="00455AC3" w:rsidRDefault="00455AC3" w:rsidP="00455AC3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 w:rsidRPr="00455AC3">
        <w:rPr>
          <w:rFonts w:eastAsia="Times New Roman"/>
          <w:color w:val="2F5496" w:themeColor="accent1" w:themeShade="BF"/>
          <w:sz w:val="20"/>
          <w:szCs w:val="20"/>
        </w:rPr>
        <w:t>Deploy 11 Pop-ups from NOAAS Oscar Dyson on OD19-08 Fall Mooring Cruise in late September/ early October 2019</w:t>
      </w:r>
    </w:p>
    <w:p w14:paraId="1069E718" w14:textId="77777777" w:rsidR="00455AC3" w:rsidRPr="00455AC3" w:rsidRDefault="00455AC3" w:rsidP="00455AC3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 w:rsidRPr="00455AC3">
        <w:rPr>
          <w:rFonts w:eastAsia="Times New Roman"/>
          <w:color w:val="2F5496" w:themeColor="accent1" w:themeShade="BF"/>
          <w:sz w:val="20"/>
          <w:szCs w:val="20"/>
        </w:rPr>
        <w:t>Pop-ups collect cold pool bottom temps and PAR measurements, release periodically throughout late winter/spring 2019</w:t>
      </w:r>
    </w:p>
    <w:p w14:paraId="49D341FC" w14:textId="77777777" w:rsidR="00455AC3" w:rsidRPr="00455AC3" w:rsidRDefault="00455AC3" w:rsidP="00455AC3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 w:rsidRPr="00455AC3">
        <w:rPr>
          <w:rFonts w:eastAsia="Times New Roman"/>
          <w:color w:val="2F5496" w:themeColor="accent1" w:themeShade="BF"/>
          <w:sz w:val="20"/>
          <w:szCs w:val="20"/>
        </w:rPr>
        <w:t>Late Spring/ summer 2019 data transmits back to PMEL, provides first look at cold pool conditions from the winter of 2019</w:t>
      </w:r>
    </w:p>
    <w:p w14:paraId="48973836" w14:textId="5349F343" w:rsidR="00455AC3" w:rsidRPr="00455AC3" w:rsidRDefault="00455AC3" w:rsidP="00455AC3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 w:rsidRPr="00455AC3">
        <w:rPr>
          <w:rFonts w:eastAsia="Times New Roman"/>
          <w:color w:val="2F5496" w:themeColor="accent1" w:themeShade="BF"/>
          <w:sz w:val="20"/>
          <w:szCs w:val="20"/>
        </w:rPr>
        <w:t>Continue receiving surface drifter data for up to 2 years</w:t>
      </w:r>
      <w:r>
        <w:rPr>
          <w:rFonts w:eastAsia="Times New Roman"/>
          <w:color w:val="2F5496" w:themeColor="accent1" w:themeShade="BF"/>
          <w:sz w:val="20"/>
          <w:szCs w:val="20"/>
        </w:rPr>
        <w:t xml:space="preserve">, develop automated user interface for Pop-up database, have data included in the National Data Buoy Center and NWS sea surface measurement input. </w:t>
      </w:r>
    </w:p>
    <w:p w14:paraId="444673B4" w14:textId="4AB2A1A7" w:rsidR="00C67C77" w:rsidRPr="00915F25" w:rsidRDefault="00C67C77">
      <w:pPr>
        <w:rPr>
          <w:rFonts w:eastAsia="Times New Roman"/>
          <w:sz w:val="20"/>
          <w:szCs w:val="20"/>
        </w:rPr>
      </w:pPr>
    </w:p>
    <w:p w14:paraId="5DE3A8FD" w14:textId="2E1939B4" w:rsidR="00915F25" w:rsidRPr="00B10721" w:rsidRDefault="00C67C77">
      <w:pPr>
        <w:rPr>
          <w:rFonts w:eastAsia="Times New Roman"/>
          <w:sz w:val="20"/>
          <w:szCs w:val="20"/>
        </w:rPr>
      </w:pPr>
      <w:r w:rsidRPr="00915F25">
        <w:rPr>
          <w:rFonts w:eastAsia="Times New Roman"/>
          <w:sz w:val="20"/>
          <w:szCs w:val="20"/>
        </w:rPr>
        <w:t>Sensor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1882"/>
        <w:gridCol w:w="1290"/>
      </w:tblGrid>
      <w:tr w:rsidR="00F84582" w:rsidRPr="00915F25" w14:paraId="52B7E5BD" w14:textId="77777777" w:rsidTr="00F84582">
        <w:trPr>
          <w:cantSplit/>
          <w:trHeight w:val="917"/>
        </w:trPr>
        <w:tc>
          <w:tcPr>
            <w:tcW w:w="6205" w:type="dxa"/>
            <w:vAlign w:val="center"/>
          </w:tcPr>
          <w:p w14:paraId="4E27AED2" w14:textId="588A5373" w:rsidR="00F84582" w:rsidRPr="0047738F" w:rsidRDefault="006B4545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660" w:type="dxa"/>
            <w:vAlign w:val="center"/>
          </w:tcPr>
          <w:p w14:paraId="636A7FCF" w14:textId="1D512696" w:rsidR="00F84582" w:rsidRPr="0047738F" w:rsidRDefault="00F84582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47738F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INSTRUMENT</w:t>
            </w:r>
            <w:r w:rsidR="006B4545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ATION </w:t>
            </w:r>
          </w:p>
        </w:tc>
        <w:tc>
          <w:tcPr>
            <w:tcW w:w="1290" w:type="dxa"/>
            <w:vAlign w:val="center"/>
          </w:tcPr>
          <w:p w14:paraId="7010E1EB" w14:textId="3B4655B7" w:rsidR="00F84582" w:rsidRPr="0047738F" w:rsidRDefault="00F84582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47738F">
              <w:rPr>
                <w:rFonts w:asciiTheme="minorHAnsi" w:eastAsia="Times New Roman" w:hAnsiTheme="minorHAnsi"/>
                <w:b/>
                <w:sz w:val="20"/>
                <w:szCs w:val="20"/>
              </w:rPr>
              <w:t>Total Units Required</w:t>
            </w:r>
          </w:p>
        </w:tc>
      </w:tr>
      <w:tr w:rsidR="00F84582" w:rsidRPr="00915F25" w14:paraId="076455A7" w14:textId="77777777" w:rsidTr="00F84582">
        <w:tc>
          <w:tcPr>
            <w:tcW w:w="6205" w:type="dxa"/>
          </w:tcPr>
          <w:p w14:paraId="0139FEEE" w14:textId="2D11E192" w:rsidR="00F84582" w:rsidRPr="00F84582" w:rsidRDefault="00F84582">
            <w:pPr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</w:pPr>
            <w:r w:rsidRPr="00F84582"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>Pop-up S/N 208, 209, 211, 216</w:t>
            </w:r>
          </w:p>
        </w:tc>
        <w:tc>
          <w:tcPr>
            <w:tcW w:w="660" w:type="dxa"/>
          </w:tcPr>
          <w:p w14:paraId="28F59BD9" w14:textId="1785DA04" w:rsidR="00F84582" w:rsidRPr="00F84582" w:rsidRDefault="00F84582">
            <w:pPr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</w:pPr>
            <w:r w:rsidRPr="00F84582"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>Temp + PAR</w:t>
            </w:r>
          </w:p>
        </w:tc>
        <w:tc>
          <w:tcPr>
            <w:tcW w:w="1290" w:type="dxa"/>
          </w:tcPr>
          <w:p w14:paraId="5315D39F" w14:textId="237E55D3" w:rsidR="00F84582" w:rsidRPr="00F84582" w:rsidRDefault="00F84582">
            <w:pPr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</w:pPr>
            <w:r w:rsidRPr="00F84582"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>4</w:t>
            </w:r>
          </w:p>
        </w:tc>
      </w:tr>
      <w:tr w:rsidR="00F84582" w:rsidRPr="00915F25" w14:paraId="18A1DDB5" w14:textId="77777777" w:rsidTr="00F84582">
        <w:tc>
          <w:tcPr>
            <w:tcW w:w="6205" w:type="dxa"/>
          </w:tcPr>
          <w:p w14:paraId="3E73CC16" w14:textId="5FF9FF6B" w:rsidR="00F84582" w:rsidRPr="00F84582" w:rsidRDefault="00F84582">
            <w:pPr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</w:pPr>
            <w:r w:rsidRPr="00F84582"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>Pop-up S/N 210, 212, 213, 214, 215, 217, 218, 219, 220, 221, 222 223</w:t>
            </w:r>
          </w:p>
        </w:tc>
        <w:tc>
          <w:tcPr>
            <w:tcW w:w="660" w:type="dxa"/>
          </w:tcPr>
          <w:p w14:paraId="7B6949FF" w14:textId="22DFE6FF" w:rsidR="00F84582" w:rsidRPr="00F84582" w:rsidRDefault="00F84582">
            <w:pPr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</w:pPr>
            <w:r w:rsidRPr="00F84582"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>Temp only</w:t>
            </w:r>
          </w:p>
        </w:tc>
        <w:tc>
          <w:tcPr>
            <w:tcW w:w="1290" w:type="dxa"/>
          </w:tcPr>
          <w:p w14:paraId="20B9F2BC" w14:textId="4BF99516" w:rsidR="00F84582" w:rsidRPr="00F84582" w:rsidRDefault="00F84582">
            <w:pPr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</w:pPr>
            <w:r w:rsidRPr="00F84582"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>12</w:t>
            </w:r>
          </w:p>
        </w:tc>
      </w:tr>
    </w:tbl>
    <w:p w14:paraId="5ED07641" w14:textId="018E98A1" w:rsidR="00C67C77" w:rsidRPr="00915F25" w:rsidRDefault="00C67C77">
      <w:pPr>
        <w:rPr>
          <w:rFonts w:eastAsia="Times New Roman"/>
          <w:sz w:val="20"/>
          <w:szCs w:val="20"/>
        </w:rPr>
      </w:pPr>
    </w:p>
    <w:p w14:paraId="1F30EC00" w14:textId="640BF13F" w:rsidR="00B10721" w:rsidRDefault="00B10721" w:rsidP="00B10721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Acknowledgements</w:t>
      </w:r>
    </w:p>
    <w:p w14:paraId="38DEB5A3" w14:textId="77777777" w:rsidR="00C408D3" w:rsidRDefault="00C408D3" w:rsidP="00C408D3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 xml:space="preserve">Programs: </w:t>
      </w:r>
    </w:p>
    <w:p w14:paraId="4194D936" w14:textId="52EB0222" w:rsidR="00C408D3" w:rsidRDefault="00C408D3" w:rsidP="00C408D3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Innovative Technology for Arctic Exploration (ITAE)</w:t>
      </w:r>
    </w:p>
    <w:p w14:paraId="1CBDBCFA" w14:textId="75C6144E" w:rsidR="00C408D3" w:rsidRDefault="00C408D3" w:rsidP="00C408D3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NOAA’s Arctic Integrated Ecosystem Research Program (AIERP)</w:t>
      </w:r>
    </w:p>
    <w:p w14:paraId="4B05E33B" w14:textId="0A0DC9DE" w:rsidR="008531F0" w:rsidRDefault="00F84582" w:rsidP="00C408D3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NOAA’s Ecosystem-Fisheries Oceanography Coordinated Investigations (</w:t>
      </w:r>
      <w:proofErr w:type="spellStart"/>
      <w:r w:rsidR="008531F0">
        <w:rPr>
          <w:rFonts w:eastAsia="Times New Roman"/>
          <w:color w:val="2F5496" w:themeColor="accent1" w:themeShade="BF"/>
          <w:sz w:val="20"/>
          <w:szCs w:val="20"/>
        </w:rPr>
        <w:t>EcoFOCI</w:t>
      </w:r>
      <w:proofErr w:type="spellEnd"/>
      <w:r>
        <w:rPr>
          <w:rFonts w:eastAsia="Times New Roman"/>
          <w:color w:val="2F5496" w:themeColor="accent1" w:themeShade="BF"/>
          <w:sz w:val="20"/>
          <w:szCs w:val="20"/>
        </w:rPr>
        <w:t>)</w:t>
      </w:r>
    </w:p>
    <w:p w14:paraId="26216D22" w14:textId="275EF48F" w:rsidR="008531F0" w:rsidRDefault="008531F0" w:rsidP="00C408D3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R/V Ocean Starr</w:t>
      </w:r>
    </w:p>
    <w:p w14:paraId="00D8CD39" w14:textId="4439BAF5" w:rsidR="008531F0" w:rsidRDefault="008531F0" w:rsidP="00C408D3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NOAAS Oscar Dyson</w:t>
      </w:r>
    </w:p>
    <w:p w14:paraId="23BD0745" w14:textId="77777777" w:rsidR="00C408D3" w:rsidRDefault="00C408D3" w:rsidP="00C408D3">
      <w:pPr>
        <w:rPr>
          <w:rFonts w:eastAsia="Times New Roman"/>
          <w:color w:val="2F5496" w:themeColor="accent1" w:themeShade="BF"/>
          <w:sz w:val="20"/>
          <w:szCs w:val="20"/>
        </w:rPr>
      </w:pPr>
    </w:p>
    <w:p w14:paraId="554B5484" w14:textId="7A832C6A" w:rsidR="00C408D3" w:rsidRDefault="00C408D3" w:rsidP="00C408D3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lastRenderedPageBreak/>
        <w:t xml:space="preserve">Personnel: </w:t>
      </w:r>
    </w:p>
    <w:p w14:paraId="11BF6960" w14:textId="77777777" w:rsidR="00F84582" w:rsidRPr="00F84582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Steven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Anderson</w:t>
      </w:r>
    </w:p>
    <w:p w14:paraId="773A5593" w14:textId="77777777" w:rsidR="00F84582" w:rsidRPr="00F84582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 xml:space="preserve">Shaun 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Bell</w:t>
      </w:r>
    </w:p>
    <w:p w14:paraId="13F1D01B" w14:textId="77777777" w:rsidR="00F84582" w:rsidRPr="00F84582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Eugene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Burger</w:t>
      </w:r>
    </w:p>
    <w:p w14:paraId="3EC95E45" w14:textId="77777777" w:rsidR="00F84582" w:rsidRPr="00F84582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Sarah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Donohoe</w:t>
      </w:r>
    </w:p>
    <w:p w14:paraId="4E325B53" w14:textId="77777777" w:rsidR="00F84582" w:rsidRPr="00F84582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Dan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</w:r>
      <w:proofErr w:type="spellStart"/>
      <w:r w:rsidRPr="00F84582">
        <w:rPr>
          <w:rFonts w:eastAsia="Times New Roman"/>
          <w:color w:val="2F5496" w:themeColor="accent1" w:themeShade="BF"/>
          <w:sz w:val="20"/>
          <w:szCs w:val="20"/>
        </w:rPr>
        <w:t>Langis</w:t>
      </w:r>
      <w:proofErr w:type="spellEnd"/>
    </w:p>
    <w:p w14:paraId="7CE66C52" w14:textId="77777777" w:rsidR="00F84582" w:rsidRPr="00F84582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John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</w:r>
      <w:proofErr w:type="spellStart"/>
      <w:r w:rsidRPr="00F84582">
        <w:rPr>
          <w:rFonts w:eastAsia="Times New Roman"/>
          <w:color w:val="2F5496" w:themeColor="accent1" w:themeShade="BF"/>
          <w:sz w:val="20"/>
          <w:szCs w:val="20"/>
        </w:rPr>
        <w:t>Shanley</w:t>
      </w:r>
      <w:proofErr w:type="spellEnd"/>
    </w:p>
    <w:p w14:paraId="2ED67895" w14:textId="77777777" w:rsidR="00F84582" w:rsidRPr="00F84582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 xml:space="preserve">Dirk 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</w:r>
      <w:proofErr w:type="spellStart"/>
      <w:r w:rsidRPr="00F84582">
        <w:rPr>
          <w:rFonts w:eastAsia="Times New Roman"/>
          <w:color w:val="2F5496" w:themeColor="accent1" w:themeShade="BF"/>
          <w:sz w:val="20"/>
          <w:szCs w:val="20"/>
        </w:rPr>
        <w:t>Tagawa</w:t>
      </w:r>
      <w:proofErr w:type="spellEnd"/>
    </w:p>
    <w:p w14:paraId="74DCAA17" w14:textId="77777777" w:rsidR="00F84582" w:rsidRPr="00F84582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Alex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Turpin</w:t>
      </w:r>
    </w:p>
    <w:p w14:paraId="50763CE0" w14:textId="77777777" w:rsidR="00F84582" w:rsidRPr="00F84582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Tom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Walton</w:t>
      </w:r>
    </w:p>
    <w:p w14:paraId="154BD7AB" w14:textId="19B00DC2" w:rsidR="008531F0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Willa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Zhu</w:t>
      </w:r>
    </w:p>
    <w:p w14:paraId="120C94AF" w14:textId="77777777" w:rsidR="00F84582" w:rsidRPr="00C408D3" w:rsidRDefault="00F84582" w:rsidP="00F84582">
      <w:pPr>
        <w:rPr>
          <w:rFonts w:eastAsia="Times New Roman"/>
          <w:color w:val="2F5496" w:themeColor="accent1" w:themeShade="BF"/>
          <w:sz w:val="20"/>
          <w:szCs w:val="20"/>
        </w:rPr>
      </w:pPr>
    </w:p>
    <w:p w14:paraId="5C20F0E7" w14:textId="4E05FD80" w:rsidR="00E7528F" w:rsidRDefault="00E7528F">
      <w:pPr>
        <w:rPr>
          <w:rFonts w:eastAsia="Times New Roman"/>
          <w:color w:val="000000" w:themeColor="text1"/>
          <w:sz w:val="20"/>
          <w:szCs w:val="20"/>
        </w:rPr>
      </w:pPr>
      <w:r w:rsidRPr="00E7528F">
        <w:rPr>
          <w:rFonts w:eastAsia="Times New Roman"/>
          <w:color w:val="000000" w:themeColor="text1"/>
          <w:sz w:val="20"/>
          <w:szCs w:val="20"/>
        </w:rPr>
        <w:t>Map</w:t>
      </w:r>
    </w:p>
    <w:p w14:paraId="56DAE5A6" w14:textId="4396BC9E" w:rsidR="00F84582" w:rsidRPr="00F84582" w:rsidRDefault="00F84582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**Calvin will provide deployment locations</w:t>
      </w:r>
    </w:p>
    <w:p w14:paraId="6B975849" w14:textId="182B5045" w:rsidR="00E7528F" w:rsidRDefault="00E7528F" w:rsidP="00E7528F">
      <w:pPr>
        <w:rPr>
          <w:rFonts w:eastAsia="Times New Roman"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t xml:space="preserve">(As available, </w:t>
      </w:r>
      <w:r w:rsidR="004963AA" w:rsidRPr="004963AA">
        <w:rPr>
          <w:rFonts w:eastAsia="Times New Roman"/>
          <w:b/>
          <w:color w:val="FF0000"/>
          <w:sz w:val="20"/>
          <w:szCs w:val="20"/>
        </w:rPr>
        <w:t xml:space="preserve">only </w:t>
      </w:r>
      <w:r w:rsidRPr="004963AA">
        <w:rPr>
          <w:rFonts w:eastAsia="Times New Roman"/>
          <w:b/>
          <w:color w:val="FF0000"/>
          <w:sz w:val="20"/>
          <w:szCs w:val="20"/>
        </w:rPr>
        <w:t>as an attachment in an email to heather.tabisola@noaa.gov</w:t>
      </w:r>
      <w:r>
        <w:rPr>
          <w:rFonts w:eastAsia="Times New Roman"/>
          <w:color w:val="FF0000"/>
          <w:sz w:val="20"/>
          <w:szCs w:val="20"/>
        </w:rPr>
        <w:t xml:space="preserve">, please provide a map of your operating region, or planned cruise track in </w:t>
      </w:r>
      <w:r w:rsidR="00320CE7">
        <w:rPr>
          <w:rFonts w:eastAsia="Times New Roman"/>
          <w:color w:val="FF0000"/>
          <w:sz w:val="20"/>
          <w:szCs w:val="20"/>
        </w:rPr>
        <w:t xml:space="preserve">both of </w:t>
      </w:r>
      <w:r>
        <w:rPr>
          <w:rFonts w:eastAsia="Times New Roman"/>
          <w:color w:val="FF0000"/>
          <w:sz w:val="20"/>
          <w:szCs w:val="20"/>
        </w:rPr>
        <w:t>the following formats;</w:t>
      </w:r>
    </w:p>
    <w:p w14:paraId="5D389F1C" w14:textId="2F61A6D0" w:rsidR="00E7528F" w:rsidRPr="00E7528F" w:rsidRDefault="00E7528F" w:rsidP="00E7528F">
      <w:pPr>
        <w:pStyle w:val="ListParagraph"/>
        <w:numPr>
          <w:ilvl w:val="0"/>
          <w:numId w:val="4"/>
        </w:numPr>
        <w:rPr>
          <w:rFonts w:eastAsia="Times New Roman"/>
          <w:color w:val="FF0000"/>
          <w:sz w:val="20"/>
          <w:szCs w:val="20"/>
        </w:rPr>
      </w:pPr>
      <w:r w:rsidRPr="00E7528F">
        <w:rPr>
          <w:rFonts w:eastAsia="Times New Roman"/>
          <w:color w:val="FF0000"/>
          <w:sz w:val="20"/>
          <w:szCs w:val="20"/>
        </w:rPr>
        <w:t>PNG</w:t>
      </w:r>
      <w:r>
        <w:rPr>
          <w:rFonts w:eastAsia="Times New Roman"/>
          <w:color w:val="FF0000"/>
          <w:sz w:val="20"/>
          <w:szCs w:val="20"/>
        </w:rPr>
        <w:t xml:space="preserve"> </w:t>
      </w:r>
    </w:p>
    <w:p w14:paraId="49BA9E46" w14:textId="6E6A46FC" w:rsidR="00E7528F" w:rsidRPr="00E7528F" w:rsidRDefault="00E7528F" w:rsidP="00E7528F">
      <w:pPr>
        <w:pStyle w:val="ListParagraph"/>
        <w:numPr>
          <w:ilvl w:val="0"/>
          <w:numId w:val="4"/>
        </w:numPr>
        <w:rPr>
          <w:rFonts w:eastAsia="Times New Roman"/>
          <w:color w:val="FF0000"/>
          <w:sz w:val="20"/>
          <w:szCs w:val="20"/>
        </w:rPr>
      </w:pPr>
      <w:r w:rsidRPr="00E7528F">
        <w:rPr>
          <w:rFonts w:eastAsia="Times New Roman" w:cs="Times New Roman"/>
          <w:color w:val="FF0000"/>
          <w:sz w:val="20"/>
          <w:szCs w:val="20"/>
        </w:rPr>
        <w:t>Excel or CSV file</w:t>
      </w:r>
      <w:r w:rsidRPr="00E7528F">
        <w:rPr>
          <w:rFonts w:eastAsia="Times New Roman"/>
          <w:color w:val="FF0000"/>
          <w:sz w:val="20"/>
          <w:szCs w:val="20"/>
        </w:rPr>
        <w:t>(s)</w:t>
      </w:r>
      <w:r w:rsidRPr="00E7528F">
        <w:rPr>
          <w:rFonts w:eastAsia="Times New Roman" w:cs="Times New Roman"/>
          <w:color w:val="FF0000"/>
          <w:sz w:val="20"/>
          <w:szCs w:val="20"/>
        </w:rPr>
        <w:t xml:space="preserve"> of </w:t>
      </w:r>
      <w:proofErr w:type="spellStart"/>
      <w:r w:rsidRPr="00E7528F">
        <w:rPr>
          <w:rFonts w:eastAsia="Times New Roman"/>
          <w:color w:val="FF0000"/>
          <w:sz w:val="20"/>
          <w:szCs w:val="20"/>
        </w:rPr>
        <w:t>Lat</w:t>
      </w:r>
      <w:proofErr w:type="spellEnd"/>
      <w:r w:rsidRPr="00E7528F">
        <w:rPr>
          <w:rFonts w:eastAsia="Times New Roman"/>
          <w:color w:val="FF0000"/>
          <w:sz w:val="20"/>
          <w:szCs w:val="20"/>
        </w:rPr>
        <w:t>/Longs in degrees decimal minutes AND decimal degrees</w:t>
      </w:r>
      <w:r>
        <w:rPr>
          <w:rFonts w:eastAsia="Times New Roman"/>
          <w:color w:val="FF0000"/>
          <w:sz w:val="20"/>
          <w:szCs w:val="20"/>
        </w:rPr>
        <w:t>)</w:t>
      </w:r>
    </w:p>
    <w:p w14:paraId="15B3D93B" w14:textId="16018A83" w:rsidR="00B10721" w:rsidRPr="00E7528F" w:rsidRDefault="00B10721" w:rsidP="00E7528F">
      <w:pPr>
        <w:rPr>
          <w:rFonts w:eastAsia="Times New Roman"/>
          <w:color w:val="FF0000"/>
          <w:sz w:val="20"/>
          <w:szCs w:val="20"/>
        </w:rPr>
      </w:pPr>
    </w:p>
    <w:sectPr w:rsidR="00B10721" w:rsidRPr="00E7528F" w:rsidSect="00C67C7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E9D07" w14:textId="77777777" w:rsidR="007D5B86" w:rsidRDefault="007D5B86" w:rsidP="0068312F">
      <w:r>
        <w:separator/>
      </w:r>
    </w:p>
  </w:endnote>
  <w:endnote w:type="continuationSeparator" w:id="0">
    <w:p w14:paraId="399B44A4" w14:textId="77777777" w:rsidR="007D5B86" w:rsidRDefault="007D5B86" w:rsidP="0068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79EA" w14:textId="77777777" w:rsidR="0068312F" w:rsidRDefault="0068312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D4F63C" wp14:editId="08F7427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09C6" w14:textId="7AFE15CB" w:rsidR="0068312F" w:rsidRDefault="0057726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FY18 ITAE Field assets</w:t>
                                </w:r>
                              </w:sdtContent>
                            </w:sdt>
                            <w:r w:rsidR="0068312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Asset Type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D4F63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0BD09C6" w14:textId="7AFE15CB" w:rsidR="0068312F" w:rsidRDefault="0057726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FY18 ITAE Field assets</w:t>
                          </w:r>
                        </w:sdtContent>
                      </w:sdt>
                      <w:r w:rsidR="0068312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Asset Type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97514" w14:textId="77777777" w:rsidR="007D5B86" w:rsidRDefault="007D5B86" w:rsidP="0068312F">
      <w:r>
        <w:separator/>
      </w:r>
    </w:p>
  </w:footnote>
  <w:footnote w:type="continuationSeparator" w:id="0">
    <w:p w14:paraId="07DE04D4" w14:textId="77777777" w:rsidR="007D5B86" w:rsidRDefault="007D5B86" w:rsidP="00683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0FCD"/>
    <w:multiLevelType w:val="hybridMultilevel"/>
    <w:tmpl w:val="D1BA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13AE1"/>
    <w:multiLevelType w:val="hybridMultilevel"/>
    <w:tmpl w:val="061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1731D"/>
    <w:multiLevelType w:val="multilevel"/>
    <w:tmpl w:val="017E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33AD0"/>
    <w:multiLevelType w:val="hybridMultilevel"/>
    <w:tmpl w:val="1008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87238"/>
    <w:multiLevelType w:val="multilevel"/>
    <w:tmpl w:val="2EEEA778"/>
    <w:lvl w:ilvl="0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</w:abstractNum>
  <w:abstractNum w:abstractNumId="5" w15:restartNumberingAfterBreak="0">
    <w:nsid w:val="6E033BEE"/>
    <w:multiLevelType w:val="hybridMultilevel"/>
    <w:tmpl w:val="C1E899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F16710A"/>
    <w:multiLevelType w:val="hybridMultilevel"/>
    <w:tmpl w:val="DC7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7"/>
    <w:rsid w:val="00003BA5"/>
    <w:rsid w:val="00017FD9"/>
    <w:rsid w:val="00116C6F"/>
    <w:rsid w:val="00126463"/>
    <w:rsid w:val="001507AE"/>
    <w:rsid w:val="00166FBC"/>
    <w:rsid w:val="00171173"/>
    <w:rsid w:val="001A2D70"/>
    <w:rsid w:val="001E22EF"/>
    <w:rsid w:val="00230A81"/>
    <w:rsid w:val="00240884"/>
    <w:rsid w:val="002A242E"/>
    <w:rsid w:val="002D1573"/>
    <w:rsid w:val="00320CE7"/>
    <w:rsid w:val="0033775D"/>
    <w:rsid w:val="0035393E"/>
    <w:rsid w:val="00353EC2"/>
    <w:rsid w:val="00374D8B"/>
    <w:rsid w:val="00377EE2"/>
    <w:rsid w:val="00455AC3"/>
    <w:rsid w:val="00457CA2"/>
    <w:rsid w:val="00471E41"/>
    <w:rsid w:val="0047738F"/>
    <w:rsid w:val="004963AA"/>
    <w:rsid w:val="005474F2"/>
    <w:rsid w:val="00562C23"/>
    <w:rsid w:val="00577262"/>
    <w:rsid w:val="0068312F"/>
    <w:rsid w:val="006B4545"/>
    <w:rsid w:val="00731E41"/>
    <w:rsid w:val="00761042"/>
    <w:rsid w:val="0079229D"/>
    <w:rsid w:val="007D5B86"/>
    <w:rsid w:val="008531F0"/>
    <w:rsid w:val="00855524"/>
    <w:rsid w:val="008B1A94"/>
    <w:rsid w:val="00915F25"/>
    <w:rsid w:val="009F3FA7"/>
    <w:rsid w:val="00AC0E54"/>
    <w:rsid w:val="00B10721"/>
    <w:rsid w:val="00BF355C"/>
    <w:rsid w:val="00C03A1E"/>
    <w:rsid w:val="00C408D3"/>
    <w:rsid w:val="00C67C77"/>
    <w:rsid w:val="00CC6CD1"/>
    <w:rsid w:val="00D84B54"/>
    <w:rsid w:val="00E7528F"/>
    <w:rsid w:val="00EA301C"/>
    <w:rsid w:val="00F34987"/>
    <w:rsid w:val="00F47C1F"/>
    <w:rsid w:val="00F84582"/>
    <w:rsid w:val="00FA32C3"/>
    <w:rsid w:val="00FB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B50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D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C77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39"/>
    <w:rsid w:val="00C67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8312F"/>
  </w:style>
  <w:style w:type="paragraph" w:styleId="Footer">
    <w:name w:val="footer"/>
    <w:basedOn w:val="Normal"/>
    <w:link w:val="Foot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8312F"/>
  </w:style>
  <w:style w:type="paragraph" w:styleId="Title">
    <w:name w:val="Title"/>
    <w:basedOn w:val="Normal"/>
    <w:next w:val="Normal"/>
    <w:link w:val="TitleChar"/>
    <w:rsid w:val="00B10721"/>
    <w:pPr>
      <w:spacing w:before="480" w:after="120"/>
      <w:contextualSpacing/>
    </w:pPr>
    <w:rPr>
      <w:rFonts w:ascii="Arial" w:eastAsia="Arial" w:hAnsi="Arial" w:cs="Arial"/>
      <w:b/>
      <w:color w:val="000000"/>
      <w:sz w:val="72"/>
      <w:szCs w:val="22"/>
    </w:rPr>
  </w:style>
  <w:style w:type="character" w:customStyle="1" w:styleId="TitleChar">
    <w:name w:val="Title Char"/>
    <w:basedOn w:val="DefaultParagraphFont"/>
    <w:link w:val="Title"/>
    <w:rsid w:val="00B10721"/>
    <w:rPr>
      <w:rFonts w:ascii="Arial" w:eastAsia="Arial" w:hAnsi="Arial" w:cs="Arial"/>
      <w:b/>
      <w:color w:val="000000"/>
      <w:sz w:val="72"/>
      <w:szCs w:val="22"/>
    </w:rPr>
  </w:style>
  <w:style w:type="character" w:styleId="Hyperlink">
    <w:name w:val="Hyperlink"/>
    <w:basedOn w:val="DefaultParagraphFont"/>
    <w:uiPriority w:val="99"/>
    <w:unhideWhenUsed/>
    <w:rsid w:val="00E75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28F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1E22EF"/>
    <w:rPr>
      <w:rFonts w:ascii="Helvetica" w:hAnsi="Helvetica"/>
      <w:color w:va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17FD9"/>
    <w:rPr>
      <w:color w:val="954F72" w:themeColor="followedHyperlink"/>
      <w:u w:val="single"/>
    </w:rPr>
  </w:style>
  <w:style w:type="paragraph" w:customStyle="1" w:styleId="Normal1">
    <w:name w:val="Normal1"/>
    <w:rsid w:val="0024088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9B470-F768-4BAD-AC40-FEABA238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FY18 ITAE Field assets</vt:lpstr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FY18 ITAE Field assets</dc:title>
  <dc:subject>Asset Type</dc:subject>
  <dc:creator>Microsoft Office User</dc:creator>
  <cp:keywords/>
  <dc:description/>
  <cp:lastModifiedBy>Sarah Donohoe</cp:lastModifiedBy>
  <cp:revision>7</cp:revision>
  <cp:lastPrinted>2018-01-17T16:19:00Z</cp:lastPrinted>
  <dcterms:created xsi:type="dcterms:W3CDTF">2019-02-13T19:28:00Z</dcterms:created>
  <dcterms:modified xsi:type="dcterms:W3CDTF">2019-02-22T20:11:00Z</dcterms:modified>
</cp:coreProperties>
</file>