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AE4D" w14:textId="6B208BAF" w:rsidR="00EA301C" w:rsidRPr="0047738F" w:rsidRDefault="00F3498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2019</w:t>
      </w:r>
      <w:r w:rsidR="00C67C77" w:rsidRPr="0047738F">
        <w:rPr>
          <w:rFonts w:asciiTheme="minorHAnsi" w:hAnsiTheme="minorHAnsi"/>
          <w:b/>
        </w:rPr>
        <w:t xml:space="preserve"> ITAE Field Asset Overview</w:t>
      </w:r>
    </w:p>
    <w:p w14:paraId="04F4A175" w14:textId="579873E7" w:rsidR="00C67C77" w:rsidRDefault="00C67C77">
      <w:pPr>
        <w:rPr>
          <w:rFonts w:asciiTheme="minorHAnsi" w:eastAsia="Times New Roman" w:hAnsiTheme="minorHAnsi"/>
          <w:i/>
          <w:color w:val="FF0000"/>
          <w:sz w:val="20"/>
          <w:szCs w:val="20"/>
        </w:rPr>
      </w:pPr>
    </w:p>
    <w:p w14:paraId="0EA34415" w14:textId="124D142A" w:rsidR="008A3050" w:rsidRPr="008A3050" w:rsidRDefault="008A3050" w:rsidP="008A3050">
      <w:pPr>
        <w:spacing w:after="120"/>
        <w:rPr>
          <w:rFonts w:asciiTheme="minorHAnsi" w:hAnsiTheme="minorHAnsi"/>
          <w:color w:val="2F5496" w:themeColor="accent1" w:themeShade="BF"/>
          <w:sz w:val="20"/>
          <w:szCs w:val="20"/>
        </w:rPr>
      </w:pPr>
      <w:r>
        <w:rPr>
          <w:rFonts w:asciiTheme="minorHAnsi" w:eastAsia="Times New Roman" w:hAnsiTheme="minorHAnsi"/>
          <w:i/>
          <w:color w:val="2F5496" w:themeColor="accent1" w:themeShade="BF"/>
          <w:sz w:val="20"/>
          <w:szCs w:val="20"/>
        </w:rPr>
        <w:t>Pop-up Float</w:t>
      </w:r>
    </w:p>
    <w:p w14:paraId="647543C9" w14:textId="77777777" w:rsidR="008A3050" w:rsidRPr="00915F25" w:rsidRDefault="008A3050">
      <w:pPr>
        <w:rPr>
          <w:sz w:val="20"/>
          <w:szCs w:val="20"/>
        </w:rPr>
      </w:pPr>
    </w:p>
    <w:tbl>
      <w:tblPr>
        <w:tblW w:w="10815" w:type="dxa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700"/>
        <w:gridCol w:w="1890"/>
        <w:gridCol w:w="3870"/>
      </w:tblGrid>
      <w:tr w:rsidR="00C67C77" w:rsidRPr="00915F25" w14:paraId="18039D51" w14:textId="77777777" w:rsidTr="00C67C77">
        <w:trPr>
          <w:trHeight w:val="53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2C50B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Principal Investigator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120A" w14:textId="1704F038" w:rsidR="00C67C77" w:rsidRPr="00915F25" w:rsidRDefault="00A1310F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A1310F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 xml:space="preserve">Dr. Phyllis </w:t>
            </w:r>
            <w:proofErr w:type="spellStart"/>
            <w:r w:rsidRPr="00A1310F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Stabeno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B158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Requesting Organization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6126" w14:textId="77777777" w:rsidR="00C67C77" w:rsidRPr="00A1310F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</w:pPr>
            <w:r w:rsidRPr="00A1310F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NOAA’s Pacific Marine Environmental Lab</w:t>
            </w:r>
          </w:p>
          <w:p w14:paraId="48E1C306" w14:textId="77777777" w:rsidR="00C67C77" w:rsidRPr="00A1310F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</w:pPr>
            <w:r w:rsidRPr="00A1310F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Seattle, WA</w:t>
            </w:r>
          </w:p>
        </w:tc>
      </w:tr>
      <w:tr w:rsidR="00C67C77" w:rsidRPr="00915F25" w14:paraId="678A64C6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E1A0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Mission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8F9D" w14:textId="1B48545F" w:rsidR="00C67C77" w:rsidRPr="008A3050" w:rsidRDefault="008A3050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</w:pPr>
            <w:r w:rsidRPr="008A3050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 xml:space="preserve">Mooring </w:t>
            </w:r>
            <w:r w:rsidR="00350A11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 xml:space="preserve">Continuity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467BA" w14:textId="77777777" w:rsidR="00C67C77" w:rsidRPr="00915F25" w:rsidRDefault="00C67C77" w:rsidP="00C67C7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No. of Assets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C47C7" w14:textId="5259DF84" w:rsidR="00C67C77" w:rsidRPr="00915F25" w:rsidRDefault="00A1310F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7</w:t>
            </w:r>
          </w:p>
        </w:tc>
      </w:tr>
      <w:tr w:rsidR="00C67C77" w:rsidRPr="00915F25" w14:paraId="39472F67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8E4B5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AD95B" w14:textId="4727A958" w:rsidR="00C67C77" w:rsidRPr="00915F25" w:rsidRDefault="008A3050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8A3050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July 2019- July 2020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5D97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Data Mission Days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0220E" w14:textId="5842333C" w:rsidR="00C67C77" w:rsidRPr="00915F25" w:rsidRDefault="00A1310F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A1310F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Up to 2 years</w:t>
            </w:r>
          </w:p>
        </w:tc>
      </w:tr>
      <w:tr w:rsidR="00C67C77" w:rsidRPr="00915F25" w14:paraId="37D5A92B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264B8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Launch Location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F309" w14:textId="593154B5" w:rsidR="00C67C77" w:rsidRPr="00915F25" w:rsidRDefault="00A1310F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8A3050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N/A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E746B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Recovery Location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4DFAD" w14:textId="2A5D5858" w:rsidR="00C67C77" w:rsidRPr="00915F25" w:rsidRDefault="00A1310F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33775D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Not applicable, no recovery</w:t>
            </w:r>
          </w:p>
        </w:tc>
      </w:tr>
      <w:tr w:rsidR="00C67C77" w:rsidRPr="00915F25" w14:paraId="579BB409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7AEBD" w14:textId="77777777" w:rsidR="00C67C77" w:rsidRPr="00915F25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915F25">
              <w:rPr>
                <w:rFonts w:asciiTheme="minorHAnsi" w:hAnsiTheme="minorHAnsi"/>
                <w:b/>
                <w:bCs/>
                <w:color w:val="434343"/>
                <w:sz w:val="20"/>
                <w:szCs w:val="20"/>
              </w:rPr>
              <w:t>OPAREA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75383" w14:textId="59EFA247" w:rsidR="00C67C77" w:rsidRPr="00915F25" w:rsidRDefault="00A1310F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8A3050">
              <w:rPr>
                <w:rFonts w:asciiTheme="minorHAnsi" w:hAnsiTheme="minorHAnsi"/>
                <w:color w:val="2F5496" w:themeColor="accent1" w:themeShade="BF"/>
                <w:sz w:val="20"/>
                <w:szCs w:val="20"/>
              </w:rPr>
              <w:t>Bering Sea &amp; Chukchi Sea</w:t>
            </w:r>
          </w:p>
        </w:tc>
      </w:tr>
    </w:tbl>
    <w:p w14:paraId="0B56A965" w14:textId="77777777" w:rsidR="00C67C77" w:rsidRPr="00915F25" w:rsidRDefault="00C67C77">
      <w:pPr>
        <w:rPr>
          <w:sz w:val="20"/>
          <w:szCs w:val="20"/>
        </w:rPr>
      </w:pPr>
    </w:p>
    <w:p w14:paraId="16AD3F4B" w14:textId="77777777" w:rsidR="00C67C77" w:rsidRPr="00915F25" w:rsidRDefault="00C67C77">
      <w:pPr>
        <w:rPr>
          <w:rFonts w:eastAsia="Times New Roman"/>
          <w:sz w:val="20"/>
          <w:szCs w:val="20"/>
        </w:rPr>
      </w:pPr>
      <w:r w:rsidRPr="00915F25">
        <w:rPr>
          <w:rFonts w:eastAsia="Times New Roman"/>
          <w:sz w:val="20"/>
          <w:szCs w:val="20"/>
        </w:rPr>
        <w:t>Background</w:t>
      </w:r>
    </w:p>
    <w:p w14:paraId="07F45A54" w14:textId="2359EC0D" w:rsidR="00915F25" w:rsidRPr="006A4D46" w:rsidRDefault="00084952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The Ecosystem Fisheries-</w:t>
      </w:r>
      <w:bookmarkStart w:id="0" w:name="_GoBack"/>
      <w:bookmarkEnd w:id="0"/>
      <w:r>
        <w:rPr>
          <w:rFonts w:eastAsia="Times New Roman"/>
          <w:color w:val="2F5496" w:themeColor="accent1" w:themeShade="BF"/>
          <w:sz w:val="20"/>
          <w:szCs w:val="20"/>
        </w:rPr>
        <w:t>Oceanography Coordinated Investigations program (</w:t>
      </w:r>
      <w:proofErr w:type="spellStart"/>
      <w:r w:rsidR="00FD3792">
        <w:rPr>
          <w:rFonts w:eastAsia="Times New Roman"/>
          <w:color w:val="2F5496" w:themeColor="accent1" w:themeShade="BF"/>
          <w:sz w:val="20"/>
          <w:szCs w:val="20"/>
        </w:rPr>
        <w:t>EcoFOCI</w:t>
      </w:r>
      <w:proofErr w:type="spellEnd"/>
      <w:r>
        <w:rPr>
          <w:rFonts w:eastAsia="Times New Roman"/>
          <w:color w:val="2F5496" w:themeColor="accent1" w:themeShade="BF"/>
          <w:sz w:val="20"/>
          <w:szCs w:val="20"/>
        </w:rPr>
        <w:t>)</w:t>
      </w:r>
      <w:r w:rsidR="00FD3792">
        <w:rPr>
          <w:rFonts w:eastAsia="Times New Roman"/>
          <w:color w:val="2F5496" w:themeColor="accent1" w:themeShade="BF"/>
          <w:sz w:val="20"/>
          <w:szCs w:val="20"/>
        </w:rPr>
        <w:t xml:space="preserve"> has been collecting oceanographic measurements in the Bering Sea beginning </w:t>
      </w:r>
      <w:r>
        <w:rPr>
          <w:rFonts w:eastAsia="Times New Roman"/>
          <w:color w:val="2F5496" w:themeColor="accent1" w:themeShade="BF"/>
          <w:sz w:val="20"/>
          <w:szCs w:val="20"/>
        </w:rPr>
        <w:t>in 1991 and in the Chukchi Sea</w:t>
      </w:r>
      <w:r w:rsidR="00FD3792">
        <w:rPr>
          <w:rFonts w:eastAsia="Times New Roman"/>
          <w:color w:val="2F5496" w:themeColor="accent1" w:themeShade="BF"/>
          <w:sz w:val="20"/>
          <w:szCs w:val="20"/>
        </w:rPr>
        <w:t xml:space="preserve"> in order to provide information about currents, nutrients, heat, sea ice cover and seasonal variability for an integrated </w:t>
      </w:r>
      <w:r w:rsidR="00FD3792">
        <w:rPr>
          <w:rFonts w:eastAsia="Times New Roman"/>
          <w:color w:val="2F5496" w:themeColor="accent1" w:themeShade="BF"/>
          <w:sz w:val="20"/>
          <w:szCs w:val="20"/>
        </w:rPr>
        <w:t>long-</w:t>
      </w:r>
      <w:r w:rsidR="00FD3792">
        <w:rPr>
          <w:rFonts w:eastAsia="Times New Roman"/>
          <w:color w:val="2F5496" w:themeColor="accent1" w:themeShade="BF"/>
          <w:sz w:val="20"/>
          <w:szCs w:val="20"/>
        </w:rPr>
        <w:t xml:space="preserve">term monitoring effort that contributes to climate forecasts and fisheries management. </w:t>
      </w:r>
      <w:r w:rsidR="006A4D46" w:rsidRPr="006A4D46">
        <w:rPr>
          <w:rFonts w:eastAsia="Times New Roman"/>
          <w:color w:val="2F5496" w:themeColor="accent1" w:themeShade="BF"/>
          <w:sz w:val="20"/>
          <w:szCs w:val="20"/>
        </w:rPr>
        <w:t>Moorings have been deployed at C2</w:t>
      </w:r>
      <w:r w:rsidR="006364B4">
        <w:rPr>
          <w:rFonts w:eastAsia="Times New Roman"/>
          <w:color w:val="2F5496" w:themeColor="accent1" w:themeShade="BF"/>
          <w:sz w:val="20"/>
          <w:szCs w:val="20"/>
        </w:rPr>
        <w:t xml:space="preserve"> in the Chukchi Sea</w:t>
      </w:r>
      <w:r w:rsidR="006A4D46">
        <w:rPr>
          <w:rFonts w:eastAsia="Times New Roman"/>
          <w:color w:val="2F5496" w:themeColor="accent1" w:themeShade="BF"/>
          <w:sz w:val="20"/>
          <w:szCs w:val="20"/>
        </w:rPr>
        <w:t xml:space="preserve"> beginning in 2010 and at M5 beginning in </w:t>
      </w:r>
      <w:r w:rsidR="006364B4">
        <w:rPr>
          <w:rFonts w:eastAsia="Times New Roman"/>
          <w:color w:val="2F5496" w:themeColor="accent1" w:themeShade="BF"/>
          <w:sz w:val="20"/>
          <w:szCs w:val="20"/>
        </w:rPr>
        <w:t xml:space="preserve">2005. </w:t>
      </w:r>
      <w:r w:rsidR="001F3E12">
        <w:rPr>
          <w:rFonts w:eastAsia="Times New Roman"/>
          <w:color w:val="2F5496" w:themeColor="accent1" w:themeShade="BF"/>
          <w:sz w:val="20"/>
          <w:szCs w:val="20"/>
        </w:rPr>
        <w:t xml:space="preserve">Pop-up floats are programmed to collect bottom data, profile data and under-ice data before transitioning to a surface drifter phase and sending all raw hexadecimal data logged back in short burst data (SBD) text messages. </w:t>
      </w:r>
      <w:r w:rsidR="001F3E12">
        <w:rPr>
          <w:rFonts w:eastAsia="Times New Roman"/>
          <w:color w:val="2F5496" w:themeColor="accent1" w:themeShade="BF"/>
          <w:sz w:val="20"/>
          <w:szCs w:val="20"/>
        </w:rPr>
        <w:t xml:space="preserve">Pop-up floats were first developed as a prototype in 2016, and 5 floats were deployed each in 2017 and in 2018 in the Bering and Chukchi. </w:t>
      </w:r>
      <w:r w:rsidR="001F3E12">
        <w:rPr>
          <w:rFonts w:eastAsia="Times New Roman"/>
          <w:color w:val="2F5496" w:themeColor="accent1" w:themeShade="BF"/>
          <w:sz w:val="20"/>
          <w:szCs w:val="20"/>
        </w:rPr>
        <w:t xml:space="preserve">The benefit of adding the Pop-up floats to the suite of instruments at the long-term monitoring sites include capturing profiles under the sea ice at </w:t>
      </w:r>
      <w:r w:rsidR="008D5135">
        <w:rPr>
          <w:rFonts w:eastAsia="Times New Roman"/>
          <w:color w:val="2F5496" w:themeColor="accent1" w:themeShade="BF"/>
          <w:sz w:val="20"/>
          <w:szCs w:val="20"/>
        </w:rPr>
        <w:t xml:space="preserve">times when surface moorings are absent. </w:t>
      </w:r>
      <w:r w:rsidR="001F3E12">
        <w:rPr>
          <w:rFonts w:eastAsia="Times New Roman"/>
          <w:color w:val="2F5496" w:themeColor="accent1" w:themeShade="BF"/>
          <w:sz w:val="20"/>
          <w:szCs w:val="20"/>
        </w:rPr>
        <w:t xml:space="preserve"> </w:t>
      </w:r>
      <w:r w:rsidR="000C1802">
        <w:rPr>
          <w:rFonts w:eastAsia="Times New Roman"/>
          <w:color w:val="2F5496" w:themeColor="accent1" w:themeShade="BF"/>
          <w:sz w:val="20"/>
          <w:szCs w:val="20"/>
        </w:rPr>
        <w:t>Deploying Pop-up floats near long-term sites provides continuity while expanding the mooring dataset</w:t>
      </w:r>
      <w:r w:rsidR="001F3E12">
        <w:rPr>
          <w:rFonts w:eastAsia="Times New Roman"/>
          <w:color w:val="2F5496" w:themeColor="accent1" w:themeShade="BF"/>
          <w:sz w:val="20"/>
          <w:szCs w:val="20"/>
        </w:rPr>
        <w:t>’s temporal resolution</w:t>
      </w:r>
      <w:r w:rsidR="008D5135">
        <w:rPr>
          <w:rFonts w:eastAsia="Times New Roman"/>
          <w:color w:val="2F5496" w:themeColor="accent1" w:themeShade="BF"/>
          <w:sz w:val="20"/>
          <w:szCs w:val="20"/>
        </w:rPr>
        <w:t xml:space="preserve">; they are </w:t>
      </w:r>
      <w:r w:rsidR="008D5135">
        <w:rPr>
          <w:rFonts w:eastAsia="Times New Roman"/>
          <w:color w:val="2F5496" w:themeColor="accent1" w:themeShade="BF"/>
          <w:sz w:val="20"/>
          <w:szCs w:val="20"/>
        </w:rPr>
        <w:t xml:space="preserve">able to collect a full bottom-to-surface </w:t>
      </w:r>
      <w:r w:rsidR="008D5135">
        <w:rPr>
          <w:rFonts w:eastAsia="Times New Roman"/>
          <w:color w:val="2F5496" w:themeColor="accent1" w:themeShade="BF"/>
          <w:sz w:val="20"/>
          <w:szCs w:val="20"/>
        </w:rPr>
        <w:t xml:space="preserve">profile and send preliminary looks at bottom temperatures during the winter months in early </w:t>
      </w:r>
      <w:r w:rsidR="00A012D5">
        <w:rPr>
          <w:rFonts w:eastAsia="Times New Roman"/>
          <w:color w:val="2F5496" w:themeColor="accent1" w:themeShade="BF"/>
          <w:sz w:val="20"/>
          <w:szCs w:val="20"/>
        </w:rPr>
        <w:t>spring</w:t>
      </w:r>
      <w:r w:rsidR="008D5135">
        <w:rPr>
          <w:rFonts w:eastAsia="Times New Roman"/>
          <w:color w:val="2F5496" w:themeColor="accent1" w:themeShade="BF"/>
          <w:sz w:val="20"/>
          <w:szCs w:val="20"/>
        </w:rPr>
        <w:t xml:space="preserve"> for use in seasonal modeling and early predictions.</w:t>
      </w:r>
    </w:p>
    <w:p w14:paraId="02160052" w14:textId="77777777" w:rsidR="00B968C6" w:rsidRDefault="00B968C6">
      <w:pPr>
        <w:rPr>
          <w:rFonts w:eastAsia="Times New Roman"/>
          <w:sz w:val="20"/>
          <w:szCs w:val="20"/>
        </w:rPr>
      </w:pPr>
    </w:p>
    <w:p w14:paraId="13EBB54D" w14:textId="77777777" w:rsidR="002A242E" w:rsidRPr="002A242E" w:rsidRDefault="002A242E" w:rsidP="002A242E">
      <w:pPr>
        <w:rPr>
          <w:rFonts w:eastAsia="Times New Roman"/>
          <w:color w:val="000000" w:themeColor="text1"/>
          <w:sz w:val="20"/>
          <w:szCs w:val="20"/>
        </w:rPr>
      </w:pPr>
      <w:r w:rsidRPr="002A242E">
        <w:rPr>
          <w:rFonts w:eastAsia="Times New Roman"/>
          <w:color w:val="000000" w:themeColor="text1"/>
          <w:sz w:val="20"/>
          <w:szCs w:val="20"/>
        </w:rPr>
        <w:t>Mission Overview</w:t>
      </w:r>
    </w:p>
    <w:p w14:paraId="00C56254" w14:textId="4CD24210" w:rsidR="008D5135" w:rsidRDefault="008D5135" w:rsidP="00CB2D89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Seven (n=7) Pop-up floats outfitted with pressure sensors, cameras, GPS, tilt accelerometers, PAR sensors and temperature sensors (possibly addition of fluorometer, TBD) will be built and calibrated at PMEL before loading aboard the R/V Ocean Starr in early July 2019 in Seattle, WA. Three (n=3) of the Pop-up floats will be deployed east of Saint Matthew’s Island, AK on leg 1 of the 2019 AIERP cruise as the ship makes its way north from Dutch Harbor, AK to the Chukchi Sea. Four (n=4) more will be deployed near C2 and C12 on the same Mooring-focused leg</w:t>
      </w:r>
      <w:r w:rsidR="00A012D5">
        <w:rPr>
          <w:rFonts w:eastAsia="Times New Roman"/>
          <w:color w:val="2F5496" w:themeColor="accent1" w:themeShade="BF"/>
          <w:sz w:val="20"/>
          <w:szCs w:val="20"/>
        </w:rPr>
        <w:t xml:space="preserve"> of the AIERP cruise. The three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 Saint Matthew’s Island Pop-up floats will be programmed to release on March 1</w:t>
      </w:r>
      <w:r w:rsidRPr="008D5135">
        <w:rPr>
          <w:rFonts w:eastAsia="Times New Roman"/>
          <w:color w:val="2F5496" w:themeColor="accent1" w:themeShade="BF"/>
          <w:sz w:val="20"/>
          <w:szCs w:val="20"/>
          <w:vertAlign w:val="superscript"/>
        </w:rPr>
        <w:t>st</w:t>
      </w:r>
      <w:r>
        <w:rPr>
          <w:rFonts w:eastAsia="Times New Roman"/>
          <w:color w:val="2F5496" w:themeColor="accent1" w:themeShade="BF"/>
          <w:sz w:val="20"/>
          <w:szCs w:val="20"/>
        </w:rPr>
        <w:t>, 10</w:t>
      </w:r>
      <w:r w:rsidRPr="008D5135">
        <w:rPr>
          <w:rFonts w:eastAsia="Times New Roman"/>
          <w:color w:val="2F5496" w:themeColor="accent1" w:themeShade="BF"/>
          <w:sz w:val="20"/>
          <w:szCs w:val="20"/>
          <w:vertAlign w:val="superscript"/>
        </w:rPr>
        <w:t>th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 and 20</w:t>
      </w:r>
      <w:r w:rsidRPr="008D5135">
        <w:rPr>
          <w:rFonts w:eastAsia="Times New Roman"/>
          <w:color w:val="2F5496" w:themeColor="accent1" w:themeShade="BF"/>
          <w:sz w:val="20"/>
          <w:szCs w:val="20"/>
          <w:vertAlign w:val="superscript"/>
        </w:rPr>
        <w:t>th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 respectively </w:t>
      </w:r>
      <w:r w:rsidR="00554943">
        <w:rPr>
          <w:rFonts w:eastAsia="Times New Roman"/>
          <w:color w:val="2F5496" w:themeColor="accent1" w:themeShade="BF"/>
          <w:sz w:val="20"/>
          <w:szCs w:val="20"/>
        </w:rPr>
        <w:t>in an attempt to capture bottom-to-surface profiles during the ice exten</w:t>
      </w:r>
      <w:r w:rsidR="00A012D5">
        <w:rPr>
          <w:rFonts w:eastAsia="Times New Roman"/>
          <w:color w:val="2F5496" w:themeColor="accent1" w:themeShade="BF"/>
          <w:sz w:val="20"/>
          <w:szCs w:val="20"/>
        </w:rPr>
        <w:t>t retreat in early spring. The four</w:t>
      </w:r>
      <w:r w:rsidR="00554943">
        <w:rPr>
          <w:rFonts w:eastAsia="Times New Roman"/>
          <w:color w:val="2F5496" w:themeColor="accent1" w:themeShade="BF"/>
          <w:sz w:val="20"/>
          <w:szCs w:val="20"/>
        </w:rPr>
        <w:t xml:space="preserve"> Chukchi Pop-up floats will be released to collect profiles from early to late April (dates TBD). </w:t>
      </w:r>
    </w:p>
    <w:p w14:paraId="045E93D5" w14:textId="261B4F7E" w:rsidR="00CB2D89" w:rsidRPr="00F84582" w:rsidRDefault="00CB2D89" w:rsidP="00CB2D89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**Exact deployment locations TBD/ East of Saint Matthew’s Island, AK near M5 and near C2 and 12 in the Chukchi Sea.</w:t>
      </w:r>
    </w:p>
    <w:p w14:paraId="6DC40474" w14:textId="77777777" w:rsidR="002A242E" w:rsidRPr="002A242E" w:rsidRDefault="002A242E">
      <w:pPr>
        <w:rPr>
          <w:rFonts w:eastAsia="Times New Roman"/>
          <w:sz w:val="20"/>
          <w:szCs w:val="20"/>
        </w:rPr>
      </w:pPr>
    </w:p>
    <w:p w14:paraId="05A8AE65" w14:textId="77777777" w:rsidR="00B10721" w:rsidRDefault="00C67C77" w:rsidP="00B10721">
      <w:pPr>
        <w:rPr>
          <w:rFonts w:eastAsia="Times New Roman"/>
          <w:sz w:val="20"/>
          <w:szCs w:val="20"/>
        </w:rPr>
      </w:pPr>
      <w:r w:rsidRPr="00915F25">
        <w:rPr>
          <w:rFonts w:eastAsia="Times New Roman"/>
          <w:sz w:val="20"/>
          <w:szCs w:val="20"/>
        </w:rPr>
        <w:t>Objectives</w:t>
      </w:r>
    </w:p>
    <w:p w14:paraId="4B219A49" w14:textId="171E3940" w:rsidR="00285609" w:rsidRDefault="00285609" w:rsidP="00285609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Load</w:t>
      </w:r>
      <w:r w:rsidR="00BB4D40">
        <w:rPr>
          <w:rFonts w:eastAsia="Times New Roman"/>
          <w:color w:val="2F5496" w:themeColor="accent1" w:themeShade="BF"/>
          <w:sz w:val="20"/>
          <w:szCs w:val="20"/>
        </w:rPr>
        <w:t xml:space="preserve"> </w:t>
      </w:r>
      <w:r w:rsidR="008A3050">
        <w:rPr>
          <w:rFonts w:eastAsia="Times New Roman"/>
          <w:color w:val="2F5496" w:themeColor="accent1" w:themeShade="BF"/>
          <w:sz w:val="20"/>
          <w:szCs w:val="20"/>
        </w:rPr>
        <w:t>7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 </w:t>
      </w:r>
      <w:r w:rsidRPr="00455AC3">
        <w:rPr>
          <w:rFonts w:eastAsia="Times New Roman"/>
          <w:color w:val="2F5496" w:themeColor="accent1" w:themeShade="BF"/>
          <w:sz w:val="20"/>
          <w:szCs w:val="20"/>
        </w:rPr>
        <w:t xml:space="preserve"> Pop-ups on R/V Ocean Starr early July 2019</w:t>
      </w:r>
    </w:p>
    <w:p w14:paraId="7D870E1C" w14:textId="4DF1C2FA" w:rsidR="008A3050" w:rsidRDefault="008A3050" w:rsidP="00285609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Deploy 3 Pop-ups East of Saint Matthew’s Island, near M5 on leg 1 of R/V Ocean Starr AIERP cruise</w:t>
      </w:r>
    </w:p>
    <w:p w14:paraId="4ED1C9AF" w14:textId="06810968" w:rsidR="008A3050" w:rsidRDefault="008A3050" w:rsidP="00285609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Deploy 2 near C2 in the Chukchi on AIERP</w:t>
      </w:r>
    </w:p>
    <w:p w14:paraId="500FCB89" w14:textId="20D606A6" w:rsidR="008A3050" w:rsidRDefault="008A3050" w:rsidP="00285609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Deploy 2 near C12 in the Chukchi on AIERP</w:t>
      </w:r>
    </w:p>
    <w:p w14:paraId="4DC9CB39" w14:textId="33E2A0FC" w:rsidR="008A3050" w:rsidRDefault="008A3050" w:rsidP="00285609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 xml:space="preserve">Pop-ups ideally timed to collect vertical profiles during ice retreat </w:t>
      </w:r>
    </w:p>
    <w:p w14:paraId="39901DBD" w14:textId="71D73ADD" w:rsidR="008A3050" w:rsidRPr="00455AC3" w:rsidRDefault="008A3050" w:rsidP="008A3050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 xml:space="preserve">Late Spring/ summer 2019 data transmits back to PMEL, provides first look 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at </w:t>
      </w:r>
      <w:r w:rsidRPr="00455AC3">
        <w:rPr>
          <w:rFonts w:eastAsia="Times New Roman"/>
          <w:color w:val="2F5496" w:themeColor="accent1" w:themeShade="BF"/>
          <w:sz w:val="20"/>
          <w:szCs w:val="20"/>
        </w:rPr>
        <w:t>conditions from the winter of 2019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 </w:t>
      </w:r>
    </w:p>
    <w:p w14:paraId="68D1B114" w14:textId="051EEB44" w:rsidR="008A3050" w:rsidRPr="00455AC3" w:rsidRDefault="008A3050" w:rsidP="008A3050">
      <w:pPr>
        <w:pStyle w:val="ListParagraph"/>
        <w:numPr>
          <w:ilvl w:val="0"/>
          <w:numId w:val="7"/>
        </w:numPr>
        <w:rPr>
          <w:rFonts w:eastAsia="Times New Roman"/>
          <w:color w:val="2F5496" w:themeColor="accent1" w:themeShade="BF"/>
          <w:sz w:val="20"/>
          <w:szCs w:val="20"/>
        </w:rPr>
      </w:pPr>
      <w:r w:rsidRPr="00455AC3">
        <w:rPr>
          <w:rFonts w:eastAsia="Times New Roman"/>
          <w:color w:val="2F5496" w:themeColor="accent1" w:themeShade="BF"/>
          <w:sz w:val="20"/>
          <w:szCs w:val="20"/>
        </w:rPr>
        <w:t>Continue receiving surface drifter data for up to 2 years</w:t>
      </w:r>
      <w:r>
        <w:rPr>
          <w:rFonts w:eastAsia="Times New Roman"/>
          <w:color w:val="2F5496" w:themeColor="accent1" w:themeShade="BF"/>
          <w:sz w:val="20"/>
          <w:szCs w:val="20"/>
        </w:rPr>
        <w:t>, develop automated user interface for Pop-up database, have data included in the National Data Buoy Center and NWS</w:t>
      </w:r>
      <w:r>
        <w:rPr>
          <w:rFonts w:eastAsia="Times New Roman"/>
          <w:color w:val="2F5496" w:themeColor="accent1" w:themeShade="BF"/>
          <w:sz w:val="20"/>
          <w:szCs w:val="20"/>
        </w:rPr>
        <w:t xml:space="preserve"> sea surface measurement input, integrate satellite remote sensing data. </w:t>
      </w:r>
    </w:p>
    <w:p w14:paraId="3F33741D" w14:textId="163C70E6" w:rsidR="008A3050" w:rsidRDefault="008A3050" w:rsidP="008A3050">
      <w:pPr>
        <w:pStyle w:val="ListParagraph"/>
        <w:rPr>
          <w:rFonts w:eastAsia="Times New Roman"/>
          <w:color w:val="2F5496" w:themeColor="accent1" w:themeShade="BF"/>
          <w:sz w:val="20"/>
          <w:szCs w:val="20"/>
        </w:rPr>
      </w:pPr>
    </w:p>
    <w:p w14:paraId="27C3E286" w14:textId="77777777" w:rsidR="008A3050" w:rsidRPr="00455AC3" w:rsidRDefault="008A3050" w:rsidP="008A3050">
      <w:pPr>
        <w:pStyle w:val="ListParagraph"/>
        <w:rPr>
          <w:rFonts w:eastAsia="Times New Roman"/>
          <w:color w:val="2F5496" w:themeColor="accent1" w:themeShade="BF"/>
          <w:sz w:val="20"/>
          <w:szCs w:val="20"/>
        </w:rPr>
      </w:pPr>
    </w:p>
    <w:p w14:paraId="5DE3A8FD" w14:textId="0AE6F787" w:rsidR="00915F25" w:rsidRDefault="00C67C77">
      <w:pPr>
        <w:rPr>
          <w:rFonts w:eastAsia="Times New Roman"/>
          <w:sz w:val="20"/>
          <w:szCs w:val="20"/>
        </w:rPr>
      </w:pPr>
      <w:r w:rsidRPr="00915F25">
        <w:rPr>
          <w:rFonts w:eastAsia="Times New Roman"/>
          <w:sz w:val="20"/>
          <w:szCs w:val="20"/>
        </w:rPr>
        <w:t>Sensor Table</w:t>
      </w:r>
    </w:p>
    <w:p w14:paraId="59B2A446" w14:textId="77777777" w:rsidR="00350A11" w:rsidRPr="00B10721" w:rsidRDefault="00350A11">
      <w:pPr>
        <w:rPr>
          <w:rFonts w:eastAsia="Times New Roman"/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315"/>
        <w:gridCol w:w="2333"/>
        <w:gridCol w:w="4147"/>
      </w:tblGrid>
      <w:tr w:rsidR="00A1310F" w:rsidRPr="00915F25" w14:paraId="52B7E5BD" w14:textId="77777777" w:rsidTr="00A1310F">
        <w:trPr>
          <w:cantSplit/>
          <w:trHeight w:val="1134"/>
        </w:trPr>
        <w:tc>
          <w:tcPr>
            <w:tcW w:w="4315" w:type="dxa"/>
            <w:vAlign w:val="center"/>
          </w:tcPr>
          <w:p w14:paraId="4E27AED2" w14:textId="36D73F39" w:rsidR="00A1310F" w:rsidRPr="0047738F" w:rsidRDefault="00350A1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2333" w:type="dxa"/>
            <w:vAlign w:val="center"/>
          </w:tcPr>
          <w:p w14:paraId="636A7FCF" w14:textId="4938E6D0" w:rsidR="00A1310F" w:rsidRPr="0047738F" w:rsidRDefault="00A1310F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47738F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INSTRUMENT</w:t>
            </w:r>
            <w:r w:rsidR="00350A1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ATION</w:t>
            </w:r>
          </w:p>
        </w:tc>
        <w:tc>
          <w:tcPr>
            <w:tcW w:w="4147" w:type="dxa"/>
            <w:vAlign w:val="center"/>
          </w:tcPr>
          <w:p w14:paraId="7010E1EB" w14:textId="3B4655B7" w:rsidR="00A1310F" w:rsidRPr="0047738F" w:rsidRDefault="00A1310F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47738F">
              <w:rPr>
                <w:rFonts w:asciiTheme="minorHAnsi" w:eastAsia="Times New Roman" w:hAnsiTheme="minorHAnsi"/>
                <w:b/>
                <w:sz w:val="20"/>
                <w:szCs w:val="20"/>
              </w:rPr>
              <w:t>Total Units Required</w:t>
            </w:r>
          </w:p>
        </w:tc>
      </w:tr>
      <w:tr w:rsidR="00A1310F" w:rsidRPr="00915F25" w14:paraId="076455A7" w14:textId="77777777" w:rsidTr="00A1310F">
        <w:tc>
          <w:tcPr>
            <w:tcW w:w="4315" w:type="dxa"/>
          </w:tcPr>
          <w:p w14:paraId="0139FEEE" w14:textId="31EE0775" w:rsidR="00A1310F" w:rsidRPr="0047738F" w:rsidRDefault="00A1310F" w:rsidP="00A1310F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lastRenderedPageBreak/>
              <w:t xml:space="preserve">Pop-up S/N </w:t>
            </w:r>
            <w: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201, 202, 203, 204, 205, 206, 207</w:t>
            </w:r>
          </w:p>
        </w:tc>
        <w:tc>
          <w:tcPr>
            <w:tcW w:w="2333" w:type="dxa"/>
          </w:tcPr>
          <w:p w14:paraId="28F59BD9" w14:textId="4847C94F" w:rsidR="00A1310F" w:rsidRPr="0047738F" w:rsidRDefault="00A1310F" w:rsidP="00A1310F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F84582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Temp + PAR</w:t>
            </w:r>
            <w: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 xml:space="preserve"> + Camera</w:t>
            </w:r>
            <w:r w:rsidR="00350A11"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 xml:space="preserve"> + (Fluorometer?)</w:t>
            </w:r>
          </w:p>
        </w:tc>
        <w:tc>
          <w:tcPr>
            <w:tcW w:w="4147" w:type="dxa"/>
          </w:tcPr>
          <w:p w14:paraId="5315D39F" w14:textId="61BE7403" w:rsidR="00A1310F" w:rsidRPr="0047738F" w:rsidRDefault="00A1310F" w:rsidP="00A1310F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2F5496" w:themeColor="accent1" w:themeShade="BF"/>
                <w:sz w:val="20"/>
                <w:szCs w:val="20"/>
              </w:rPr>
              <w:t>7</w:t>
            </w:r>
          </w:p>
        </w:tc>
      </w:tr>
    </w:tbl>
    <w:p w14:paraId="2F36A7CF" w14:textId="77777777" w:rsidR="00C67C77" w:rsidRPr="00915F25" w:rsidRDefault="00C67C77">
      <w:pPr>
        <w:rPr>
          <w:rFonts w:eastAsia="Times New Roman"/>
          <w:sz w:val="20"/>
          <w:szCs w:val="20"/>
        </w:rPr>
      </w:pPr>
    </w:p>
    <w:p w14:paraId="5ED07641" w14:textId="77777777" w:rsidR="00C67C77" w:rsidRPr="00915F25" w:rsidRDefault="00C67C77">
      <w:pPr>
        <w:rPr>
          <w:rFonts w:eastAsia="Times New Roman"/>
          <w:sz w:val="20"/>
          <w:szCs w:val="20"/>
        </w:rPr>
      </w:pPr>
    </w:p>
    <w:p w14:paraId="1F30EC00" w14:textId="640BF13F" w:rsidR="00B10721" w:rsidRDefault="00B10721" w:rsidP="00B10721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Acknowledgements</w:t>
      </w:r>
    </w:p>
    <w:p w14:paraId="592B0BF2" w14:textId="77777777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 xml:space="preserve">Programs: </w:t>
      </w:r>
    </w:p>
    <w:p w14:paraId="6376200C" w14:textId="1A4A9C14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Innovative Technology for Arctic Exploration (ITAE)</w:t>
      </w:r>
    </w:p>
    <w:p w14:paraId="3B525DEB" w14:textId="1F744542" w:rsidR="00FD3792" w:rsidRDefault="00FD3792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Distributed Biological Observatory (DBO)</w:t>
      </w:r>
    </w:p>
    <w:p w14:paraId="45B86418" w14:textId="77777777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NOAA’s Arctic Integrated Ecosystem Research Program (AIERP)</w:t>
      </w:r>
    </w:p>
    <w:p w14:paraId="4DE4D099" w14:textId="77777777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NOAA’s Ecosystem-Fisheries Oceanography Coordinated Investigations (</w:t>
      </w:r>
      <w:proofErr w:type="spellStart"/>
      <w:r>
        <w:rPr>
          <w:rFonts w:eastAsia="Times New Roman"/>
          <w:color w:val="2F5496" w:themeColor="accent1" w:themeShade="BF"/>
          <w:sz w:val="20"/>
          <w:szCs w:val="20"/>
        </w:rPr>
        <w:t>EcoFOCI</w:t>
      </w:r>
      <w:proofErr w:type="spellEnd"/>
      <w:r>
        <w:rPr>
          <w:rFonts w:eastAsia="Times New Roman"/>
          <w:color w:val="2F5496" w:themeColor="accent1" w:themeShade="BF"/>
          <w:sz w:val="20"/>
          <w:szCs w:val="20"/>
        </w:rPr>
        <w:t>)</w:t>
      </w:r>
    </w:p>
    <w:p w14:paraId="5E235C4A" w14:textId="77777777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R/V Ocean Starr</w:t>
      </w:r>
    </w:p>
    <w:p w14:paraId="2C93CF91" w14:textId="77777777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</w:p>
    <w:p w14:paraId="3D8EADE4" w14:textId="77777777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 xml:space="preserve">Personnel: </w:t>
      </w:r>
    </w:p>
    <w:p w14:paraId="25B1D0DB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Steven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Anderson</w:t>
      </w:r>
    </w:p>
    <w:p w14:paraId="31A630E9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 xml:space="preserve">Shaun 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Bell</w:t>
      </w:r>
    </w:p>
    <w:p w14:paraId="4FAF1BD5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Eugene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Burger</w:t>
      </w:r>
    </w:p>
    <w:p w14:paraId="0BCB9545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Sarah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Donohoe</w:t>
      </w:r>
    </w:p>
    <w:p w14:paraId="1C2A3835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Dan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</w:r>
      <w:proofErr w:type="spellStart"/>
      <w:r w:rsidRPr="00F84582">
        <w:rPr>
          <w:rFonts w:eastAsia="Times New Roman"/>
          <w:color w:val="2F5496" w:themeColor="accent1" w:themeShade="BF"/>
          <w:sz w:val="20"/>
          <w:szCs w:val="20"/>
        </w:rPr>
        <w:t>Langis</w:t>
      </w:r>
      <w:proofErr w:type="spellEnd"/>
    </w:p>
    <w:p w14:paraId="1ABB0F51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John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</w:r>
      <w:proofErr w:type="spellStart"/>
      <w:r w:rsidRPr="00F84582">
        <w:rPr>
          <w:rFonts w:eastAsia="Times New Roman"/>
          <w:color w:val="2F5496" w:themeColor="accent1" w:themeShade="BF"/>
          <w:sz w:val="20"/>
          <w:szCs w:val="20"/>
        </w:rPr>
        <w:t>Shanley</w:t>
      </w:r>
      <w:proofErr w:type="spellEnd"/>
    </w:p>
    <w:p w14:paraId="15474389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 xml:space="preserve">Dirk 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</w:r>
      <w:proofErr w:type="spellStart"/>
      <w:r w:rsidRPr="00F84582">
        <w:rPr>
          <w:rFonts w:eastAsia="Times New Roman"/>
          <w:color w:val="2F5496" w:themeColor="accent1" w:themeShade="BF"/>
          <w:sz w:val="20"/>
          <w:szCs w:val="20"/>
        </w:rPr>
        <w:t>Tagawa</w:t>
      </w:r>
      <w:proofErr w:type="spellEnd"/>
    </w:p>
    <w:p w14:paraId="69F69F95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Alex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Turpin</w:t>
      </w:r>
    </w:p>
    <w:p w14:paraId="3554F58A" w14:textId="77777777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Tom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Walton</w:t>
      </w:r>
    </w:p>
    <w:p w14:paraId="175C83E1" w14:textId="77777777" w:rsidR="00A1310F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 w:rsidRPr="00F84582">
        <w:rPr>
          <w:rFonts w:eastAsia="Times New Roman"/>
          <w:color w:val="2F5496" w:themeColor="accent1" w:themeShade="BF"/>
          <w:sz w:val="20"/>
          <w:szCs w:val="20"/>
        </w:rPr>
        <w:t>Willa</w:t>
      </w:r>
      <w:r w:rsidRPr="00F84582">
        <w:rPr>
          <w:rFonts w:eastAsia="Times New Roman"/>
          <w:color w:val="2F5496" w:themeColor="accent1" w:themeShade="BF"/>
          <w:sz w:val="20"/>
          <w:szCs w:val="20"/>
        </w:rPr>
        <w:tab/>
        <w:t>Zhu</w:t>
      </w:r>
    </w:p>
    <w:p w14:paraId="0FB278B7" w14:textId="77777777" w:rsidR="00E7528F" w:rsidRDefault="00E7528F">
      <w:pPr>
        <w:rPr>
          <w:rFonts w:eastAsia="Times New Roman"/>
          <w:color w:val="FF0000"/>
          <w:sz w:val="20"/>
          <w:szCs w:val="20"/>
        </w:rPr>
      </w:pPr>
    </w:p>
    <w:p w14:paraId="5C20F0E7" w14:textId="04171F7B" w:rsidR="00E7528F" w:rsidRDefault="00E7528F">
      <w:pPr>
        <w:rPr>
          <w:rFonts w:eastAsia="Times New Roman"/>
          <w:color w:val="000000" w:themeColor="text1"/>
          <w:sz w:val="20"/>
          <w:szCs w:val="20"/>
        </w:rPr>
      </w:pPr>
      <w:r w:rsidRPr="00E7528F">
        <w:rPr>
          <w:rFonts w:eastAsia="Times New Roman"/>
          <w:color w:val="000000" w:themeColor="text1"/>
          <w:sz w:val="20"/>
          <w:szCs w:val="20"/>
        </w:rPr>
        <w:t>Map</w:t>
      </w:r>
    </w:p>
    <w:p w14:paraId="7B3121D1" w14:textId="58B0521F" w:rsidR="00A1310F" w:rsidRPr="00F84582" w:rsidRDefault="00A1310F" w:rsidP="00A1310F">
      <w:pPr>
        <w:rPr>
          <w:rFonts w:eastAsia="Times New Roman"/>
          <w:color w:val="2F5496" w:themeColor="accent1" w:themeShade="BF"/>
          <w:sz w:val="20"/>
          <w:szCs w:val="20"/>
        </w:rPr>
      </w:pPr>
      <w:r>
        <w:rPr>
          <w:rFonts w:eastAsia="Times New Roman"/>
          <w:color w:val="2F5496" w:themeColor="accent1" w:themeShade="BF"/>
          <w:sz w:val="20"/>
          <w:szCs w:val="20"/>
        </w:rPr>
        <w:t>**</w:t>
      </w:r>
      <w:r>
        <w:rPr>
          <w:rFonts w:eastAsia="Times New Roman"/>
          <w:color w:val="2F5496" w:themeColor="accent1" w:themeShade="BF"/>
          <w:sz w:val="20"/>
          <w:szCs w:val="20"/>
        </w:rPr>
        <w:t>Exact deployment locations TBD</w:t>
      </w:r>
      <w:r w:rsidR="00350A11">
        <w:rPr>
          <w:rFonts w:eastAsia="Times New Roman"/>
          <w:color w:val="2F5496" w:themeColor="accent1" w:themeShade="BF"/>
          <w:sz w:val="20"/>
          <w:szCs w:val="20"/>
        </w:rPr>
        <w:t>/ East of Saint Matthew’s Island, AK near M5 and near C2 and 12 in the Chukchi Sea.</w:t>
      </w:r>
    </w:p>
    <w:p w14:paraId="061F55F4" w14:textId="77777777" w:rsidR="00A1310F" w:rsidRPr="00E7528F" w:rsidRDefault="00A1310F">
      <w:pPr>
        <w:rPr>
          <w:rFonts w:eastAsia="Times New Roman"/>
          <w:color w:val="000000" w:themeColor="text1"/>
          <w:sz w:val="20"/>
          <w:szCs w:val="20"/>
        </w:rPr>
      </w:pPr>
    </w:p>
    <w:p w14:paraId="6B975849" w14:textId="182B5045" w:rsidR="00E7528F" w:rsidRDefault="00E7528F" w:rsidP="00E7528F">
      <w:pPr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t xml:space="preserve">(As available, </w:t>
      </w:r>
      <w:r w:rsidR="004963AA" w:rsidRPr="004963AA">
        <w:rPr>
          <w:rFonts w:eastAsia="Times New Roman"/>
          <w:b/>
          <w:color w:val="FF0000"/>
          <w:sz w:val="20"/>
          <w:szCs w:val="20"/>
        </w:rPr>
        <w:t xml:space="preserve">only </w:t>
      </w:r>
      <w:r w:rsidRPr="004963AA">
        <w:rPr>
          <w:rFonts w:eastAsia="Times New Roman"/>
          <w:b/>
          <w:color w:val="FF0000"/>
          <w:sz w:val="20"/>
          <w:szCs w:val="20"/>
        </w:rPr>
        <w:t>as an attachment in an email to heather.tabisola@noaa.gov</w:t>
      </w:r>
      <w:r>
        <w:rPr>
          <w:rFonts w:eastAsia="Times New Roman"/>
          <w:color w:val="FF0000"/>
          <w:sz w:val="20"/>
          <w:szCs w:val="20"/>
        </w:rPr>
        <w:t xml:space="preserve">, please provide a map of your operating region, or planned cruise track in </w:t>
      </w:r>
      <w:r w:rsidR="00320CE7">
        <w:rPr>
          <w:rFonts w:eastAsia="Times New Roman"/>
          <w:color w:val="FF0000"/>
          <w:sz w:val="20"/>
          <w:szCs w:val="20"/>
        </w:rPr>
        <w:t xml:space="preserve">both of </w:t>
      </w:r>
      <w:r>
        <w:rPr>
          <w:rFonts w:eastAsia="Times New Roman"/>
          <w:color w:val="FF0000"/>
          <w:sz w:val="20"/>
          <w:szCs w:val="20"/>
        </w:rPr>
        <w:t>the following formats;</w:t>
      </w:r>
    </w:p>
    <w:p w14:paraId="5D389F1C" w14:textId="2F61A6D0" w:rsidR="00E7528F" w:rsidRPr="00E7528F" w:rsidRDefault="00E7528F" w:rsidP="00E7528F">
      <w:pPr>
        <w:pStyle w:val="ListParagraph"/>
        <w:numPr>
          <w:ilvl w:val="0"/>
          <w:numId w:val="4"/>
        </w:numPr>
        <w:rPr>
          <w:rFonts w:eastAsia="Times New Roman"/>
          <w:color w:val="FF0000"/>
          <w:sz w:val="20"/>
          <w:szCs w:val="20"/>
        </w:rPr>
      </w:pPr>
      <w:r w:rsidRPr="00E7528F">
        <w:rPr>
          <w:rFonts w:eastAsia="Times New Roman"/>
          <w:color w:val="FF0000"/>
          <w:sz w:val="20"/>
          <w:szCs w:val="20"/>
        </w:rPr>
        <w:t>PNG</w:t>
      </w:r>
      <w:r>
        <w:rPr>
          <w:rFonts w:eastAsia="Times New Roman"/>
          <w:color w:val="FF0000"/>
          <w:sz w:val="20"/>
          <w:szCs w:val="20"/>
        </w:rPr>
        <w:t xml:space="preserve"> </w:t>
      </w:r>
    </w:p>
    <w:p w14:paraId="49BA9E46" w14:textId="6E6A46FC" w:rsidR="00E7528F" w:rsidRPr="00E7528F" w:rsidRDefault="00E7528F" w:rsidP="00E7528F">
      <w:pPr>
        <w:pStyle w:val="ListParagraph"/>
        <w:numPr>
          <w:ilvl w:val="0"/>
          <w:numId w:val="4"/>
        </w:numPr>
        <w:rPr>
          <w:rFonts w:eastAsia="Times New Roman"/>
          <w:color w:val="FF0000"/>
          <w:sz w:val="20"/>
          <w:szCs w:val="20"/>
        </w:rPr>
      </w:pPr>
      <w:r w:rsidRPr="00E7528F">
        <w:rPr>
          <w:rFonts w:eastAsia="Times New Roman" w:cs="Times New Roman"/>
          <w:color w:val="FF0000"/>
          <w:sz w:val="20"/>
          <w:szCs w:val="20"/>
        </w:rPr>
        <w:t>Excel or CSV file</w:t>
      </w:r>
      <w:r w:rsidRPr="00E7528F">
        <w:rPr>
          <w:rFonts w:eastAsia="Times New Roman"/>
          <w:color w:val="FF0000"/>
          <w:sz w:val="20"/>
          <w:szCs w:val="20"/>
        </w:rPr>
        <w:t>(s)</w:t>
      </w:r>
      <w:r w:rsidRPr="00E7528F">
        <w:rPr>
          <w:rFonts w:eastAsia="Times New Roman" w:cs="Times New Roman"/>
          <w:color w:val="FF0000"/>
          <w:sz w:val="20"/>
          <w:szCs w:val="20"/>
        </w:rPr>
        <w:t xml:space="preserve"> of </w:t>
      </w:r>
      <w:proofErr w:type="spellStart"/>
      <w:r w:rsidRPr="00E7528F">
        <w:rPr>
          <w:rFonts w:eastAsia="Times New Roman"/>
          <w:color w:val="FF0000"/>
          <w:sz w:val="20"/>
          <w:szCs w:val="20"/>
        </w:rPr>
        <w:t>Lat</w:t>
      </w:r>
      <w:proofErr w:type="spellEnd"/>
      <w:r w:rsidRPr="00E7528F">
        <w:rPr>
          <w:rFonts w:eastAsia="Times New Roman"/>
          <w:color w:val="FF0000"/>
          <w:sz w:val="20"/>
          <w:szCs w:val="20"/>
        </w:rPr>
        <w:t>/Longs in degrees decimal minutes AND decimal degrees</w:t>
      </w:r>
      <w:r>
        <w:rPr>
          <w:rFonts w:eastAsia="Times New Roman"/>
          <w:color w:val="FF0000"/>
          <w:sz w:val="20"/>
          <w:szCs w:val="20"/>
        </w:rPr>
        <w:t>)</w:t>
      </w:r>
    </w:p>
    <w:p w14:paraId="267F9C62" w14:textId="77777777" w:rsidR="00E7528F" w:rsidRDefault="00E7528F" w:rsidP="00E7528F">
      <w:pPr>
        <w:rPr>
          <w:rFonts w:eastAsia="Times New Roman"/>
        </w:rPr>
      </w:pPr>
    </w:p>
    <w:p w14:paraId="2A704F4F" w14:textId="260B6B6F" w:rsidR="00B10721" w:rsidRPr="00A1310F" w:rsidRDefault="00B10721" w:rsidP="00B10721">
      <w:pPr>
        <w:rPr>
          <w:rFonts w:eastAsia="Times New Roman"/>
          <w:color w:val="FF0000"/>
          <w:sz w:val="20"/>
          <w:szCs w:val="20"/>
        </w:rPr>
      </w:pPr>
    </w:p>
    <w:sectPr w:rsidR="00B10721" w:rsidRPr="00A1310F" w:rsidSect="00C67C7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E9D07" w14:textId="77777777" w:rsidR="007D5B86" w:rsidRDefault="007D5B86" w:rsidP="0068312F">
      <w:r>
        <w:separator/>
      </w:r>
    </w:p>
  </w:endnote>
  <w:endnote w:type="continuationSeparator" w:id="0">
    <w:p w14:paraId="399B44A4" w14:textId="77777777" w:rsidR="007D5B86" w:rsidRDefault="007D5B86" w:rsidP="006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79EA" w14:textId="77777777" w:rsidR="0068312F" w:rsidRDefault="0068312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D4F63C" wp14:editId="08F742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09C6" w14:textId="7AFE15CB" w:rsidR="0068312F" w:rsidRDefault="0008495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FY18 ITAE Field assets</w:t>
                                </w:r>
                              </w:sdtContent>
                            </w:sdt>
                            <w:r w:rsidR="0068312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Asset Type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D4F63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BD09C6" w14:textId="7AFE15CB" w:rsidR="0068312F" w:rsidRDefault="0008495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FY18 ITAE Field assets</w:t>
                          </w:r>
                        </w:sdtContent>
                      </w:sdt>
                      <w:r w:rsidR="0068312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Asset Type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97514" w14:textId="77777777" w:rsidR="007D5B86" w:rsidRDefault="007D5B86" w:rsidP="0068312F">
      <w:r>
        <w:separator/>
      </w:r>
    </w:p>
  </w:footnote>
  <w:footnote w:type="continuationSeparator" w:id="0">
    <w:p w14:paraId="07DE04D4" w14:textId="77777777" w:rsidR="007D5B86" w:rsidRDefault="007D5B86" w:rsidP="006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0FCD"/>
    <w:multiLevelType w:val="hybridMultilevel"/>
    <w:tmpl w:val="D1B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3AE1"/>
    <w:multiLevelType w:val="hybridMultilevel"/>
    <w:tmpl w:val="061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731D"/>
    <w:multiLevelType w:val="multilevel"/>
    <w:tmpl w:val="01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33AD0"/>
    <w:multiLevelType w:val="hybridMultilevel"/>
    <w:tmpl w:val="1008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87238"/>
    <w:multiLevelType w:val="multilevel"/>
    <w:tmpl w:val="2EEEA778"/>
    <w:lvl w:ilvl="0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</w:abstractNum>
  <w:abstractNum w:abstractNumId="5" w15:restartNumberingAfterBreak="0">
    <w:nsid w:val="6E033BEE"/>
    <w:multiLevelType w:val="hybridMultilevel"/>
    <w:tmpl w:val="C1E899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F16710A"/>
    <w:multiLevelType w:val="hybridMultilevel"/>
    <w:tmpl w:val="DC7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003BA5"/>
    <w:rsid w:val="00017FD9"/>
    <w:rsid w:val="00084952"/>
    <w:rsid w:val="000C1802"/>
    <w:rsid w:val="001507AE"/>
    <w:rsid w:val="00166FBC"/>
    <w:rsid w:val="001E22EF"/>
    <w:rsid w:val="001F3E12"/>
    <w:rsid w:val="00285609"/>
    <w:rsid w:val="002A242E"/>
    <w:rsid w:val="002D1573"/>
    <w:rsid w:val="00320CE7"/>
    <w:rsid w:val="00350A11"/>
    <w:rsid w:val="00374D8B"/>
    <w:rsid w:val="00377EE2"/>
    <w:rsid w:val="00457CA2"/>
    <w:rsid w:val="00471E41"/>
    <w:rsid w:val="0047738F"/>
    <w:rsid w:val="004963AA"/>
    <w:rsid w:val="00554943"/>
    <w:rsid w:val="006364B4"/>
    <w:rsid w:val="0068312F"/>
    <w:rsid w:val="006A4D46"/>
    <w:rsid w:val="00731E41"/>
    <w:rsid w:val="0079229D"/>
    <w:rsid w:val="007D5B86"/>
    <w:rsid w:val="008A3050"/>
    <w:rsid w:val="008B1A94"/>
    <w:rsid w:val="008D5135"/>
    <w:rsid w:val="00915F25"/>
    <w:rsid w:val="00A012D5"/>
    <w:rsid w:val="00A1310F"/>
    <w:rsid w:val="00B10721"/>
    <w:rsid w:val="00B968C6"/>
    <w:rsid w:val="00BB4D40"/>
    <w:rsid w:val="00BF355C"/>
    <w:rsid w:val="00C67C77"/>
    <w:rsid w:val="00CB2D89"/>
    <w:rsid w:val="00CC6CD1"/>
    <w:rsid w:val="00D84B54"/>
    <w:rsid w:val="00E7528F"/>
    <w:rsid w:val="00EA301C"/>
    <w:rsid w:val="00F34987"/>
    <w:rsid w:val="00F47C1F"/>
    <w:rsid w:val="00FA32C3"/>
    <w:rsid w:val="00FB1C22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B5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8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C77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C67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12F"/>
  </w:style>
  <w:style w:type="paragraph" w:styleId="Footer">
    <w:name w:val="footer"/>
    <w:basedOn w:val="Normal"/>
    <w:link w:val="Foot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12F"/>
  </w:style>
  <w:style w:type="paragraph" w:styleId="Title">
    <w:name w:val="Title"/>
    <w:basedOn w:val="Normal"/>
    <w:next w:val="Normal"/>
    <w:link w:val="TitleChar"/>
    <w:rsid w:val="00B10721"/>
    <w:pPr>
      <w:spacing w:before="480" w:after="120"/>
      <w:contextualSpacing/>
    </w:pPr>
    <w:rPr>
      <w:rFonts w:ascii="Arial" w:eastAsia="Arial" w:hAnsi="Arial" w:cs="Arial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rsid w:val="00B10721"/>
    <w:rPr>
      <w:rFonts w:ascii="Arial" w:eastAsia="Arial" w:hAnsi="Arial" w:cs="Arial"/>
      <w:b/>
      <w:color w:val="000000"/>
      <w:sz w:val="72"/>
      <w:szCs w:val="22"/>
    </w:rPr>
  </w:style>
  <w:style w:type="character" w:styleId="Hyperlink">
    <w:name w:val="Hyperlink"/>
    <w:basedOn w:val="DefaultParagraphFont"/>
    <w:uiPriority w:val="99"/>
    <w:unhideWhenUsed/>
    <w:rsid w:val="00E75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28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1E22EF"/>
    <w:rPr>
      <w:rFonts w:ascii="Helvetica" w:hAnsi="Helvetica"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1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FY18 ITAE Field assets</vt:lpstr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FY18 ITAE Field assets</dc:title>
  <dc:subject>Asset Type</dc:subject>
  <dc:creator>Microsoft Office User</dc:creator>
  <cp:keywords/>
  <dc:description/>
  <cp:lastModifiedBy>Sarah Donohoe</cp:lastModifiedBy>
  <cp:revision>6</cp:revision>
  <cp:lastPrinted>2018-01-17T16:19:00Z</cp:lastPrinted>
  <dcterms:created xsi:type="dcterms:W3CDTF">2019-02-13T19:28:00Z</dcterms:created>
  <dcterms:modified xsi:type="dcterms:W3CDTF">2019-02-22T20:03:00Z</dcterms:modified>
</cp:coreProperties>
</file>