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Taurus: January 16-25.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constelación de Taurus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Taurus: January 16-25.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Taurus: January 16-25.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Taurus: January 16-25.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