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de Cygnus 10-19 d'agost, 9-18 de setembre, 8-17 d'octubre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Cygnus 10-19 d'agost, 9-18 de setembre, 8-17 d'octubre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Cygnus 10-19 d'agost, 9-18 de setembre, 8-17 d'octubre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Cygnus 10-19 d'agost, 9-18 de setembre, 8-17 d'octubre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