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10. – 19. srpna, 9. – 18. září, 8. – 17. října. Při pozorování použijte hvězdy oblohy, které zobrazujíSouhvězdí Labutě.10. – 19. srpna, 9. – 18. září, 8. – 17. října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10. – 19. srpna, 9. – 18. září, 8. – 17. října. Při pozorování použijte hvězdy oblohy, které zobrazujíSouhvězdí Labutě.10. – 19. srpna, 9. – 18. září, 8. – 17. října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10. – 19. srpna, 9. – 18. září, 8. – 17. října. Při pozorování použijte hvězdy oblohy, které zobrazujíSouhvězdí Labutě.10. – 19. srpna, 9. – 18. září, 8. – 17. října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10. – 19. srpna, 9. – 18. září, 8. – 17. října. Při pozorování použijte hvězdy oblohy, které zobrazujíSouhvězdí Labutě.10. – 19. srpna, 9. – 18. září, 8. – 17. října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