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(対象：はくちょう座)：、8月10〜19日、9月9〜18日、10月8〜17日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/>
      <w:r>
        <w:t>(http://amper.ped.muni.cz/jenik/astro/maps/GaNight/2022/).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(対象：はくちょう座)：、8月10〜19日、9月9〜18日、10月8〜17日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 xml:space="preserve"> ：2022年キャンペーン期間 (対象：はくちょう座)：、8月10〜19日、9月9〜18日、10月8〜17日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 xml:space="preserve"> ：2022年キャンペーン期間 (対象：はくちょう座)：、8月10〜19日、9月9〜18日、10月8〜17日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