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Zwillinge: 14.-23. Februar, 14.-24. März</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Zwillinge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Zwillinge: 14.-23. Februar, 14.-24. März</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Zwillinge: 14.-23. Februar, 14.-24. März</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Zwillinge: 14.-23. Februar, 14.-24. März</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