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Gêmeos: 14 a 23 de fevereiro, 14 a 24 de março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Está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participar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numa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campanha</w:t>
      </w:r>
      <w:proofErr w:type="spellEnd"/>
      <w:r>
        <w:rPr>
          <w:rFonts w:ascii="Calibri" w:hAnsi="Calibri" w:cs="Optima-Regular"/>
        </w:rPr>
        <w:t xml:space="preserve"> global para </w:t>
      </w:r>
      <w:proofErr w:type="spellStart"/>
      <w:r>
        <w:rPr>
          <w:rFonts w:ascii="Calibri" w:hAnsi="Calibri" w:cs="Optima-Regular"/>
        </w:rPr>
        <w:t>observar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registar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fracas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forma de </w:t>
      </w:r>
      <w:proofErr w:type="spellStart"/>
      <w:r>
        <w:rPr>
          <w:rFonts w:ascii="Calibri" w:hAnsi="Calibri" w:cs="Optima-Regular"/>
        </w:rPr>
        <w:t>medir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 num </w:t>
      </w:r>
      <w:proofErr w:type="spellStart"/>
      <w:r>
        <w:rPr>
          <w:rFonts w:ascii="Calibri" w:hAnsi="Calibri" w:cs="Optima-Regular"/>
        </w:rPr>
        <w:t>determinado</w:t>
      </w:r>
      <w:proofErr w:type="spellEnd"/>
      <w:r>
        <w:rPr>
          <w:rFonts w:ascii="Calibri" w:hAnsi="Calibri" w:cs="Optima-Regular"/>
        </w:rPr>
        <w:t xml:space="preserve"> local. </w:t>
      </w:r>
      <w:proofErr w:type="spellStart"/>
      <w:r>
        <w:rPr>
          <w:rFonts w:ascii="Calibri" w:hAnsi="Calibri" w:cs="Optima-Regular"/>
        </w:rPr>
        <w:t>Localizando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observando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 w:rsidR="00B2452E" w:rsidRPr="00B2452E">
        <w:rPr>
          <w:rFonts w:ascii="Calibri" w:hAnsi="Calibri" w:cs="Optima-Regular"/>
        </w:rPr>
        <w:t>Perseu</w:t>
      </w:r>
      <w:proofErr w:type="spellEnd"/>
      <w:r w:rsidR="00B24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 xml:space="preserve">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gramStart"/>
      <w:r>
        <w:rPr>
          <w:rFonts w:ascii="Calibri" w:hAnsi="Calibri" w:cs="Optima-Regular"/>
        </w:rPr>
        <w:t xml:space="preserve">e,  </w:t>
      </w:r>
      <w:proofErr w:type="spellStart"/>
      <w:r>
        <w:rPr>
          <w:rFonts w:ascii="Calibri" w:hAnsi="Calibri" w:cs="Optima-Regular"/>
        </w:rPr>
        <w:t>comparando</w:t>
      </w:r>
      <w:proofErr w:type="spellEnd"/>
      <w:proofErr w:type="gramEnd"/>
      <w:r>
        <w:rPr>
          <w:rFonts w:ascii="Calibri" w:hAnsi="Calibri" w:cs="Optima-Regular"/>
        </w:rPr>
        <w:t xml:space="preserve">-a com cartas </w:t>
      </w:r>
      <w:proofErr w:type="spellStart"/>
      <w:r>
        <w:rPr>
          <w:rFonts w:ascii="Calibri" w:hAnsi="Calibri" w:cs="Optima-Regular"/>
        </w:rPr>
        <w:t>estelares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pessoas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aprenderão</w:t>
      </w:r>
      <w:proofErr w:type="spellEnd"/>
      <w:r>
        <w:rPr>
          <w:rFonts w:ascii="Calibri" w:hAnsi="Calibri" w:cs="Optima-Regular"/>
        </w:rPr>
        <w:t xml:space="preserve"> 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luzes</w:t>
      </w:r>
      <w:proofErr w:type="spellEnd"/>
      <w:r>
        <w:rPr>
          <w:rFonts w:ascii="Calibri" w:hAnsi="Calibri" w:cs="Optima-Regular"/>
        </w:rPr>
        <w:t xml:space="preserve"> da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comunidade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contribuem</w:t>
      </w:r>
      <w:proofErr w:type="spellEnd"/>
      <w:r>
        <w:rPr>
          <w:rFonts w:ascii="Calibri" w:hAnsi="Calibri" w:cs="Optima-Regular"/>
        </w:rPr>
        <w:t xml:space="preserve"> para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. As </w:t>
      </w:r>
      <w:proofErr w:type="spellStart"/>
      <w:r>
        <w:rPr>
          <w:rFonts w:ascii="Calibri" w:hAnsi="Calibri" w:cs="Optima-Regular"/>
        </w:rPr>
        <w:t>suas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contribuições</w:t>
      </w:r>
      <w:proofErr w:type="spellEnd"/>
      <w:r>
        <w:rPr>
          <w:rFonts w:ascii="Calibri" w:hAnsi="Calibri" w:cs="Optima-Regular"/>
        </w:rPr>
        <w:t xml:space="preserve"> para a base de dados on-line </w:t>
      </w:r>
      <w:proofErr w:type="spellStart"/>
      <w:r>
        <w:rPr>
          <w:rFonts w:ascii="Calibri" w:hAnsi="Calibri" w:cs="Optima-Regular"/>
        </w:rPr>
        <w:t>irão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documentar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visibilidade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>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por </w:t>
      </w:r>
      <w:proofErr w:type="spellStart"/>
      <w:r>
        <w:rPr>
          <w:rFonts w:ascii="Calibri" w:hAnsi="Calibri" w:cs="CastleT-Book"/>
          <w:sz w:val="19"/>
        </w:rPr>
        <w:t>Jenik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7156AA" w:rsidRPr="00710D7C">
        <w:rPr>
          <w:rStyle w:val="Hyperlink"/>
          <w:rFonts w:ascii="Calibri" w:hAnsi="Calibri" w:cs="CastleT-Book"/>
          <w:color w:val="0000FF"/>
          <w:sz w:val="19"/>
          <w:u w:val="single"/>
        </w:rPr>
        <w:t>http://amper.ped.muni.cz/jenik/astro/maps/GaNight/2018/</w:t>
      </w:r>
      <w:r w:rsidRPr="007156AA">
        <w:rPr>
          <w:rFonts w:ascii="Calibri" w:hAnsi="Calibri" w:cs="CastleT-Book"/>
          <w:color w:val="0000FF"/>
          <w:sz w:val="19"/>
          <w:u w:val="single"/>
        </w:rPr>
        <w:t>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t>Datas das campanhas de 2022 que usam Constelação de Gêmeos: 14 a 23 de fevereiro, 14 a 24 de março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t>Datas das campanhas de 2022 que usam Constelação de Gêmeos: 14 a 23 de fevereiro, 14 a 24 de março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Gêmeos: 14 a 23 de fevereiro, 14 a 24 de março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