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'Hèrcules 13-22 de juny, 12-21 de juliol, 10-19 d'agost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'Hèrcule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'Hèrcules 13-22 de juny, 12-21 de juliol, 10-19 d'agost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'Hèrcules 13-22 de juny, 12-21 de juliol, 10-19 d'agost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'Hèrcules 13-22 de juny, 12-21 de juliol, 10-19 d'agost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