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t>havainnointijaksot vuonna Herkuleen tähtikuvio 2022: 13.-22.6., 12.-21.7., 10.-19.8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 w:rsidRPr="00EB79B0">
        <w:rPr>
          <w:rFonts w:ascii="Calibri" w:hAnsi="Calibri" w:cs="Optima-Regular"/>
          <w:sz w:val="20"/>
          <w:lang w:val="fi-FI"/>
        </w:rPr>
        <w:t>Osallistut maailmanlaajuiseen tapahtumaan jossa havaitaan ja kirjataan himmeimmät nähtävissä olevat tähdet valosaasteen mittaamiseksi.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 xml:space="preserve">Havaitsijat eri puolilla maailmaa etsivät ja havaitsevat </w:t>
      </w:r>
      <w:r w:rsidR="006F6FDA" w:rsidRPr="006F6FDA">
        <w:rPr>
          <w:rFonts w:ascii="Calibri" w:hAnsi="Calibri" w:cs="Optima-Regular"/>
          <w:sz w:val="20"/>
          <w:lang w:val="fi-FI"/>
        </w:rPr>
        <w:t>Härkä</w:t>
      </w:r>
      <w:r w:rsidRPr="00EB79B0">
        <w:rPr>
          <w:rFonts w:ascii="Calibri" w:hAnsi="Calibri" w:cs="Optima-Regular"/>
          <w:sz w:val="20"/>
          <w:lang w:val="fi-FI"/>
        </w:rPr>
        <w:t xml:space="preserve"> tähtikuvion ja vertaavat sitä tähtikarttaan.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Näin havaitaan</w:t>
      </w:r>
      <w:r>
        <w:rPr>
          <w:rFonts w:ascii="Calibri" w:hAnsi="Calibri" w:cs="Optima-Regular"/>
          <w:sz w:val="20"/>
          <w:lang w:val="fi-FI"/>
        </w:rPr>
        <w:t>,</w:t>
      </w:r>
      <w:r w:rsidR="00856D1E" w:rsidRPr="00856D1E">
        <w:t xml:space="preserve"> </w:t>
      </w:r>
      <w:r w:rsidR="00265F52">
        <w:rPr>
          <w:rFonts w:ascii="Calibri" w:hAnsi="Calibri" w:cs="Optima-Regular"/>
          <w:color w:val="auto"/>
          <w:sz w:val="22"/>
          <w:szCs w:val="22"/>
          <w:lang w:val="fi-FI"/>
        </w:rPr>
        <w:t>Perseus</w:t>
      </w:r>
      <w:r w:rsidR="007F0803" w:rsidRPr="007F0803">
        <w:rPr>
          <w:rFonts w:ascii="Calibri" w:hAnsi="Calibri" w:cs="Optima-Regular"/>
          <w:color w:val="auto"/>
          <w:sz w:val="22"/>
          <w:szCs w:val="22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miten valosaaste syntyy kunkin taajaman tai muun ihmis</w:t>
      </w:r>
      <w:r>
        <w:rPr>
          <w:rFonts w:ascii="Calibri" w:hAnsi="Calibri" w:cs="Optima-Regular"/>
          <w:sz w:val="20"/>
          <w:lang w:val="fi-FI"/>
        </w:rPr>
        <w:t xml:space="preserve">en </w:t>
      </w:r>
      <w:r w:rsidRPr="00EB79B0">
        <w:rPr>
          <w:rFonts w:ascii="Calibri" w:hAnsi="Calibri" w:cs="Optima-Regular"/>
          <w:sz w:val="20"/>
          <w:lang w:val="fi-FI"/>
        </w:rPr>
        <w:t>toiminnan valoista.</w:t>
      </w:r>
      <w:r w:rsidR="00BE6DBA" w:rsidRPr="00EB79B0">
        <w:rPr>
          <w:rFonts w:ascii="Calibri" w:hAnsi="Calibri" w:cs="Optima-Regular"/>
          <w:sz w:val="20"/>
          <w:lang w:val="fi-FI"/>
        </w:rPr>
        <w:t xml:space="preserve"> </w:t>
      </w:r>
      <w:r>
        <w:rPr>
          <w:rFonts w:ascii="Calibri" w:hAnsi="Calibri" w:cs="Optima-Regular"/>
          <w:sz w:val="20"/>
          <w:lang w:val="fi-FI"/>
        </w:rPr>
        <w:t>Antamasi t</w:t>
      </w:r>
      <w:r w:rsidRPr="006F7EF7">
        <w:rPr>
          <w:rFonts w:ascii="Calibri" w:hAnsi="Calibri" w:cs="Optima-Regular"/>
          <w:sz w:val="20"/>
          <w:lang w:val="fi-FI"/>
        </w:rPr>
        <w:t>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t>havainnointijaksot vuonna Herkuleen tähtikuvio 2022: 13.-22.6., 12.-21.7., 10.-19.8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>
        <w:t>havainnointijaksot vuonna Herkuleen tähtikuvio 2022: 13.-22.6., 12.-21.7., 10.-19.8</w:t>
      </w:r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havainnointijaksot vuonna Herkuleen tähtikuvio 2022: 13.-22.6., 12.-21.7., 10.-19.8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