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Herkuleen tähtikuvio havainnointijaksot vuonna 2022: 13.-22.6., 12.-21.7., 10.-19.8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Herkuleen tähtikuvio havainnointijaksot vuonna 2022: 13.-22.6., 12.-21.7., 10.-19.8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Herkuleen tähtikuvio havainnointijaksot vuonna 2022: 13.-22.6., 12.-21.7., 10.-19.8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Herkuleen tähtikuvio havainnointijaksot vuonna 2022: 13.-22.6., 12.-21.7., 10.-19.8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