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Hercules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Hercules: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Hercules: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