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du Lion: 14-23 avril, 14-23 mai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Lion: 14-23 avril, 14-23 mai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Lion: 14-23 avril, 14-23 mai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du Lion: 14-23 avril, 14-23 mai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